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09AC" w14:textId="566CD1DC" w:rsidR="00BD74AE" w:rsidRPr="00C77017" w:rsidRDefault="00560087" w:rsidP="00BD74AE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bg-BG"/>
        </w:rPr>
        <w:t>ОЖ</w:t>
      </w:r>
      <w:r w:rsidR="00BD74AE" w:rsidRPr="00C77017">
        <w:rPr>
          <w:rFonts w:ascii="Times New Roman" w:eastAsia="Calibri" w:hAnsi="Times New Roman" w:cs="Times New Roman"/>
          <w:sz w:val="28"/>
          <w:szCs w:val="28"/>
          <w:u w:val="single"/>
          <w:lang w:val="bg-BG"/>
        </w:rPr>
        <w:t>„АСАРЕЛ – МЕДЕТ“ АД – ГР. ПАНАГЮРИЩЕ</w:t>
      </w:r>
    </w:p>
    <w:p w14:paraId="7BB8EC70" w14:textId="4BB0A8CC" w:rsidR="00BD74AE" w:rsidRPr="00C77017" w:rsidRDefault="00BD74AE" w:rsidP="00BD74AE">
      <w:pPr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C77017">
        <w:rPr>
          <w:rFonts w:ascii="Times New Roman" w:eastAsia="Calibri" w:hAnsi="Times New Roman" w:cs="Times New Roman"/>
          <w:b/>
          <w:sz w:val="20"/>
          <w:szCs w:val="20"/>
          <w:lang w:val="bg-BG"/>
        </w:rPr>
        <w:t>Рег. №</w:t>
      </w:r>
      <w:r w:rsidR="00D13623" w:rsidRPr="00C77017">
        <w:t xml:space="preserve"> </w:t>
      </w:r>
      <w:r w:rsidR="00D13623" w:rsidRPr="00C77017">
        <w:rPr>
          <w:rFonts w:ascii="Times New Roman" w:eastAsia="Calibri" w:hAnsi="Times New Roman" w:cs="Times New Roman"/>
          <w:b/>
          <w:sz w:val="20"/>
          <w:szCs w:val="20"/>
          <w:lang w:val="bg-BG"/>
        </w:rPr>
        <w:t>93-00</w:t>
      </w:r>
      <w:r w:rsidR="005E5F94">
        <w:rPr>
          <w:rFonts w:ascii="Times New Roman" w:eastAsia="Calibri" w:hAnsi="Times New Roman" w:cs="Times New Roman"/>
          <w:b/>
          <w:sz w:val="20"/>
          <w:szCs w:val="20"/>
          <w:lang w:val="bg-BG"/>
        </w:rPr>
        <w:t>-00-15246/16.09.2</w:t>
      </w:r>
      <w:r w:rsidR="004445A1" w:rsidRPr="00C77017">
        <w:rPr>
          <w:rFonts w:ascii="Times New Roman" w:eastAsia="Calibri" w:hAnsi="Times New Roman" w:cs="Times New Roman"/>
          <w:b/>
          <w:sz w:val="20"/>
          <w:szCs w:val="20"/>
          <w:lang w:val="bg-BG"/>
        </w:rPr>
        <w:t>024</w:t>
      </w:r>
      <w:r w:rsidR="00751C1F" w:rsidRPr="00C77017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</w:t>
      </w:r>
      <w:r w:rsidR="00504406" w:rsidRPr="00C77017">
        <w:rPr>
          <w:rFonts w:ascii="Times New Roman" w:eastAsia="Calibri" w:hAnsi="Times New Roman" w:cs="Times New Roman"/>
          <w:b/>
          <w:sz w:val="20"/>
          <w:szCs w:val="20"/>
          <w:lang w:val="bg-BG"/>
        </w:rPr>
        <w:t>г.</w:t>
      </w:r>
    </w:p>
    <w:p w14:paraId="0053868B" w14:textId="77777777" w:rsidR="00BD74AE" w:rsidRPr="00C77017" w:rsidRDefault="00BD74AE" w:rsidP="00A43F08">
      <w:pPr>
        <w:spacing w:after="0"/>
        <w:ind w:left="567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УТВЪРДИЛ: </w:t>
      </w:r>
    </w:p>
    <w:p w14:paraId="1F5D2DBB" w14:textId="021E1E47" w:rsidR="00A43F08" w:rsidRPr="00C77017" w:rsidRDefault="006F1190" w:rsidP="00A43F08">
      <w:pPr>
        <w:spacing w:after="0"/>
        <w:ind w:left="567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ПРОКУРИСТ</w:t>
      </w:r>
      <w:r w:rsidR="00BD74AE"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</w:p>
    <w:p w14:paraId="54B0315B" w14:textId="40704995" w:rsidR="00BD74AE" w:rsidRPr="00C77017" w:rsidRDefault="00BD74AE" w:rsidP="00723138">
      <w:pPr>
        <w:spacing w:after="0"/>
        <w:ind w:left="5760" w:firstLine="72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>/</w:t>
      </w:r>
      <w:r w:rsidR="006F1190"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Галя Костова</w:t>
      </w:r>
      <w:r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/ </w:t>
      </w:r>
      <w:r w:rsidRPr="00C770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Дата:…………………..</w:t>
      </w:r>
    </w:p>
    <w:p w14:paraId="066250CB" w14:textId="77777777" w:rsidR="00BD74AE" w:rsidRPr="00C77017" w:rsidRDefault="00BD74AE" w:rsidP="00BD74AE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</w:pPr>
    </w:p>
    <w:p w14:paraId="04C24255" w14:textId="23F6F306" w:rsidR="00BD74AE" w:rsidRPr="00C77017" w:rsidRDefault="00BD74AE" w:rsidP="00E464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val="bg-BG"/>
        </w:rPr>
        <w:t>Техническо задание</w:t>
      </w:r>
    </w:p>
    <w:p w14:paraId="53D5F782" w14:textId="77777777" w:rsidR="003D2546" w:rsidRPr="00C77017" w:rsidRDefault="003D2546" w:rsidP="00E464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14:paraId="2E0C4DF4" w14:textId="5143B950" w:rsidR="003D2546" w:rsidRPr="00C77017" w:rsidRDefault="00BD74AE" w:rsidP="003D2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ОТНОСНО</w:t>
      </w:r>
      <w:r w:rsidRPr="00C770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87B5D" w:rsidRPr="00C770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Избор на главен изпълнител за обект:</w:t>
      </w:r>
      <w:r w:rsidR="00DF5DC5" w:rsidRPr="00C770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bookmarkStart w:id="0" w:name="_Hlk160113901"/>
      <w:r w:rsidR="003014F8" w:rsidRPr="00C7701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„Реконструкция на компрометирани участъци от ХТС на промишлена площадка „Асарел“</w:t>
      </w:r>
      <w:r w:rsidR="003D2546" w:rsidRPr="00C770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D2546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с подобекти: „Корпус едро Трошене“;  „Претоварен възел 2“; „Източен район ПКЗВ“; „ХТС в района на ГПП; ОРУ 2; ЗРУ и кабелни </w:t>
      </w:r>
      <w:proofErr w:type="spellStart"/>
      <w:r w:rsidR="003D2546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подвали</w:t>
      </w:r>
      <w:proofErr w:type="spellEnd"/>
      <w:r w:rsidR="003D2546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ГПП главен корпус“.</w:t>
      </w:r>
    </w:p>
    <w:bookmarkEnd w:id="0"/>
    <w:p w14:paraId="79386A03" w14:textId="77777777" w:rsidR="00412DF4" w:rsidRPr="00C77017" w:rsidRDefault="00412DF4" w:rsidP="00751C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</w:p>
    <w:p w14:paraId="03DB936C" w14:textId="1A9C4CBB" w:rsidR="00BD74AE" w:rsidRPr="00C77017" w:rsidRDefault="00BD74AE" w:rsidP="00751C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  <w:r w:rsidRPr="00C770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І. ОБЩИ УСЛОВИЯ</w:t>
      </w:r>
    </w:p>
    <w:p w14:paraId="19B35254" w14:textId="77777777" w:rsidR="00751C1F" w:rsidRPr="00C77017" w:rsidRDefault="00751C1F" w:rsidP="00751C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</w:p>
    <w:p w14:paraId="0F6A2DEB" w14:textId="77777777" w:rsidR="00BD74AE" w:rsidRPr="00C77017" w:rsidRDefault="00BD74AE" w:rsidP="00564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C77017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1. Общи положения</w:t>
      </w:r>
    </w:p>
    <w:p w14:paraId="77705C32" w14:textId="77777777" w:rsidR="00BD74AE" w:rsidRPr="00C77017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1.1. Всички правоотношения, свързани с организирането и провеждането на офертното проучване се регламентират от настоящата документация.</w:t>
      </w:r>
    </w:p>
    <w:p w14:paraId="2C8DE379" w14:textId="77777777" w:rsidR="00BD74AE" w:rsidRPr="00C77017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1.2. Проучването се осъществява и ръководи от комисия, която се назначава от </w:t>
      </w:r>
      <w:r w:rsidRPr="00C770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C77017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след изтичане на срока за приемане на предложенията и се обявява в деня, определен за разглеждане на предложенията.</w:t>
      </w:r>
    </w:p>
    <w:p w14:paraId="5A5C75CB" w14:textId="77777777" w:rsidR="00BD74AE" w:rsidRPr="00C77017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1.3. По смисъла на тази документация, </w:t>
      </w:r>
      <w:r w:rsidRPr="00C770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</w:t>
      </w:r>
      <w:r w:rsidRPr="00C77017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 </w:t>
      </w:r>
      <w:r w:rsidRPr="00C770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ИНВЕСТИТОР </w:t>
      </w:r>
      <w:r w:rsidRPr="00C77017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на тази поръчка е „Асарел-Медет” АД, гр. Панагюрище.</w:t>
      </w:r>
    </w:p>
    <w:p w14:paraId="281FC89C" w14:textId="77777777" w:rsidR="00BD74AE" w:rsidRPr="00C77017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1.4. Седалището на </w:t>
      </w:r>
      <w:r w:rsidRPr="00C770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C77017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е площадка „Асарел”, гр. Панагюрище.</w:t>
      </w:r>
    </w:p>
    <w:p w14:paraId="1E3EBDD8" w14:textId="16A28FA9" w:rsidR="0088085C" w:rsidRPr="00C77017" w:rsidRDefault="00BD74AE" w:rsidP="00880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1.5. Предмет на поръчката е да се определи надежден ГЛАВЕН </w:t>
      </w:r>
      <w:r w:rsidRPr="00C770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, който при условията на настоящата документация да извърши всички</w:t>
      </w:r>
      <w:r w:rsidR="002252E5"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строително - </w:t>
      </w:r>
      <w:r w:rsidR="00723138"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монтажните </w:t>
      </w:r>
      <w:r w:rsidR="002252E5"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работи за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изпълнението на </w:t>
      </w:r>
      <w:r w:rsidR="0070452D" w:rsidRPr="00C770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обект</w:t>
      </w:r>
      <w:r w:rsidRPr="00C770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: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15656"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„</w:t>
      </w:r>
      <w:r w:rsidR="0088085C" w:rsidRPr="00C770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Реконструкция на компрометирани участъци от ХТС на промишлена площадка „Асарел“ </w:t>
      </w:r>
      <w:r w:rsidR="0088085C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с подобекти: „Корпус едро Трошене“;  </w:t>
      </w:r>
      <w:bookmarkStart w:id="1" w:name="_Hlk160113325"/>
      <w:r w:rsidR="0088085C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„Претоварен възел 2“</w:t>
      </w:r>
      <w:bookmarkEnd w:id="1"/>
      <w:r w:rsidR="0088085C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; „Източен район ПКЗВ“; </w:t>
      </w:r>
      <w:bookmarkStart w:id="2" w:name="_Hlk160112446"/>
      <w:r w:rsidR="0088085C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„ХТС в района на ГПП; ОРУ 2; ЗРУ и кабелни </w:t>
      </w:r>
      <w:proofErr w:type="spellStart"/>
      <w:r w:rsidR="0088085C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подвали</w:t>
      </w:r>
      <w:proofErr w:type="spellEnd"/>
      <w:r w:rsidR="0088085C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ГПП главен корпус“. </w:t>
      </w:r>
      <w:bookmarkEnd w:id="2"/>
    </w:p>
    <w:p w14:paraId="05BB61B3" w14:textId="6805C129" w:rsidR="00BD74AE" w:rsidRPr="00C77017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1.6. Изборът се провежда между определен кръг предварително поканени потенциални изпълнители и всяка фирма проявила интерес към поканата отправена по Интернет, публикувана на </w:t>
      </w:r>
      <w:hyperlink r:id="rId8" w:history="1">
        <w:r w:rsidRPr="00C77017">
          <w:rPr>
            <w:rFonts w:ascii="Times New Roman" w:eastAsia="Times New Roman" w:hAnsi="Times New Roman" w:cs="Times New Roman"/>
            <w:sz w:val="24"/>
            <w:szCs w:val="24"/>
            <w:u w:val="single"/>
            <w:lang w:val="bg-BG"/>
          </w:rPr>
          <w:t>http://www.asarel.com</w:t>
        </w:r>
      </w:hyperlink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009FC202" w14:textId="77777777" w:rsidR="00751C1F" w:rsidRPr="00C77017" w:rsidRDefault="00751C1F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BE28020" w14:textId="77777777" w:rsidR="00BD74AE" w:rsidRPr="00C77017" w:rsidRDefault="00BD74AE" w:rsidP="00564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C77017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2. Съществуващо положение</w:t>
      </w:r>
    </w:p>
    <w:p w14:paraId="450D22DA" w14:textId="0FB1B24C" w:rsidR="00BA382D" w:rsidRPr="00C77017" w:rsidRDefault="008214DC" w:rsidP="00BA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="00BA382D"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реконструкцията на ХТС на промишлена площадка „Асарел“ са изготвени няколко работни проекта, включващи различни подобекти, които са предмет на СМР .</w:t>
      </w:r>
    </w:p>
    <w:p w14:paraId="23FED72B" w14:textId="77777777" w:rsidR="00BA382D" w:rsidRPr="00C77017" w:rsidRDefault="00BA382D" w:rsidP="00BA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Реализацията на СМР за тези подобекти са от ключово значение за опазване качеството на повърхностните води по поречията на реките в района, тъй като ще решат конкретни проблеми, свързани със отводняването и пренасочването на води от силно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техногенизирани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участъци на ПП „Асарел“.</w:t>
      </w:r>
    </w:p>
    <w:p w14:paraId="1D70E16C" w14:textId="77777777" w:rsidR="00BA382D" w:rsidRPr="00C77017" w:rsidRDefault="00BA382D" w:rsidP="00BA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Ежегодно се залага изпълнението на отделни обекти по проекта за „Ревизия и реконструкция на ХТС на промишлена площадка „Асарел“, в зависимост от тяхната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приоритетност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изпълнение и на база изпълнението на други инфраструктурни проекти.</w:t>
      </w:r>
    </w:p>
    <w:p w14:paraId="0E84B97E" w14:textId="2C3DC5AB" w:rsidR="00BA382D" w:rsidRPr="00C77017" w:rsidRDefault="00BA382D" w:rsidP="00BA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Обектите с приоритетно изпълнение, предвидени за изпълнение  през 2024 г. са за следните:</w:t>
      </w:r>
    </w:p>
    <w:p w14:paraId="14CCC54F" w14:textId="77777777" w:rsidR="00BA382D" w:rsidRPr="00C77017" w:rsidRDefault="00BA382D" w:rsidP="00BA382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Обект: „Корпус едро Трошене“;</w:t>
      </w:r>
    </w:p>
    <w:p w14:paraId="0EBA1376" w14:textId="77777777" w:rsidR="00BA382D" w:rsidRPr="00C77017" w:rsidRDefault="00BA382D" w:rsidP="00BA382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Обект: „Претоварен възел 2“;</w:t>
      </w:r>
    </w:p>
    <w:p w14:paraId="13894C58" w14:textId="77777777" w:rsidR="00BA382D" w:rsidRPr="00C77017" w:rsidRDefault="00BA382D" w:rsidP="00BA382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Обект: „Източен район ПКЗВ“;</w:t>
      </w:r>
    </w:p>
    <w:p w14:paraId="15428178" w14:textId="77777777" w:rsidR="00BA382D" w:rsidRPr="00C77017" w:rsidRDefault="00BA382D" w:rsidP="00BA382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Обект: „ХТС в района на ГПП; ОРУ 2; ЗРУ и кабелни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подвали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ГПП главен корпус“.</w:t>
      </w:r>
    </w:p>
    <w:p w14:paraId="0B5A045A" w14:textId="7CDF6EC3" w:rsidR="00BD74AE" w:rsidRPr="00C77017" w:rsidRDefault="00BD74AE" w:rsidP="00667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изготвена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следната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документация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</w:p>
    <w:p w14:paraId="17659C92" w14:textId="148CDC5A" w:rsidR="00BD74AE" w:rsidRPr="00C77017" w:rsidRDefault="00BD74AE" w:rsidP="00667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Договор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„БТ-</w:t>
      </w:r>
      <w:proofErr w:type="gram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Инженеринг“ ЕООД</w:t>
      </w:r>
      <w:proofErr w:type="gram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е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изр</w:t>
      </w:r>
      <w:r w:rsidR="00D70220"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аботен</w:t>
      </w:r>
      <w:proofErr w:type="spellEnd"/>
      <w:r w:rsidR="00D70220"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70220"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работен</w:t>
      </w:r>
      <w:proofErr w:type="spellEnd"/>
      <w:r w:rsidR="00D70220"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70220"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</w:t>
      </w:r>
      <w:proofErr w:type="spellEnd"/>
      <w:r w:rsidR="00D70220"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70220"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D70220"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70220"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обект</w:t>
      </w:r>
      <w:proofErr w:type="spellEnd"/>
      <w:r w:rsidR="00D70220"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„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Ревизия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техническото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състояние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и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проводимост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съществуващите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ХТС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територията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промишлената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площадка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и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проектни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решения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тяхната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реконструкция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и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изграждане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допълнителни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ХТС с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пренасочване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водните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потоци</w:t>
      </w:r>
      <w:proofErr w:type="spellEnd"/>
      <w:r w:rsidR="00BA382D" w:rsidRPr="00C770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“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който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състои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следните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части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  <w:r w:rsidR="00AD6AFD"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15E377C5" w14:textId="77777777" w:rsidR="00AA60F9" w:rsidRPr="00C77017" w:rsidRDefault="00AA60F9" w:rsidP="00AA60F9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</w:pPr>
      <w:r w:rsidRPr="00C7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 xml:space="preserve">Подобект:  </w:t>
      </w:r>
      <w:r w:rsidRPr="00C7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„</w:t>
      </w:r>
      <w:r w:rsidRPr="00C7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Подземен канал за замърсени води /ПКЗВ/-Източен район</w:t>
      </w:r>
      <w:r w:rsidRPr="00C7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“</w:t>
      </w:r>
      <w:r w:rsidRPr="00C7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:</w:t>
      </w:r>
    </w:p>
    <w:p w14:paraId="52768487" w14:textId="77777777" w:rsidR="00AA60F9" w:rsidRPr="00C77017" w:rsidRDefault="00AA60F9" w:rsidP="00AA60F9">
      <w:pPr>
        <w:pStyle w:val="ListParagraph"/>
        <w:keepNext/>
        <w:keepLines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част: </w:t>
      </w: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Конструктивна ХТС</w:t>
      </w: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14:paraId="27C6FF38" w14:textId="77777777" w:rsidR="00AA60F9" w:rsidRPr="00C77017" w:rsidRDefault="00AA60F9" w:rsidP="00AA60F9">
      <w:pPr>
        <w:pStyle w:val="ListParagraph"/>
        <w:keepNext/>
        <w:keepLines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част: </w:t>
      </w: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Инженерна геология</w:t>
      </w: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14:paraId="1839C876" w14:textId="77777777" w:rsidR="00AA60F9" w:rsidRPr="00C77017" w:rsidRDefault="00AA60F9" w:rsidP="00AA60F9">
      <w:pPr>
        <w:pStyle w:val="ListParagraph"/>
        <w:keepNext/>
        <w:keepLines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част: </w:t>
      </w: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Геодезия – трасировъчен план</w:t>
      </w: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14:paraId="7BCC046C" w14:textId="77777777" w:rsidR="00AA60F9" w:rsidRPr="00C77017" w:rsidRDefault="00AA60F9" w:rsidP="00AA60F9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Подобект: „Площадка корпус едро трошене“:</w:t>
      </w:r>
    </w:p>
    <w:p w14:paraId="5CD28DDB" w14:textId="77777777" w:rsidR="00AA60F9" w:rsidRPr="00C77017" w:rsidRDefault="00AA60F9" w:rsidP="00AA60F9">
      <w:pPr>
        <w:pStyle w:val="ListParagraph"/>
        <w:keepNext/>
        <w:keepLines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част: </w:t>
      </w: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Конструктивна ХТС</w:t>
      </w: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14:paraId="1498F6AF" w14:textId="73EB729F" w:rsidR="00AA60F9" w:rsidRPr="00C77017" w:rsidRDefault="00AA60F9" w:rsidP="00AA60F9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Подобект: „Претоварен възел 2“:</w:t>
      </w:r>
      <w:r w:rsidRPr="00C77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14:paraId="4B3C4F2C" w14:textId="77777777" w:rsidR="00AA60F9" w:rsidRPr="00C77017" w:rsidRDefault="00AA60F9" w:rsidP="00AA60F9">
      <w:pPr>
        <w:pStyle w:val="ListParagraph"/>
        <w:keepNext/>
        <w:keepLines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част: Конструктивна и ХТС.</w:t>
      </w:r>
    </w:p>
    <w:p w14:paraId="63B61C48" w14:textId="77777777" w:rsidR="00AA60F9" w:rsidRPr="00C77017" w:rsidRDefault="00AA60F9" w:rsidP="00AA60F9">
      <w:pPr>
        <w:pStyle w:val="ListParagraph"/>
        <w:keepNext/>
        <w:keepLines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5C67D311" w14:textId="77777777" w:rsidR="00AA60F9" w:rsidRPr="00C77017" w:rsidRDefault="00AA60F9" w:rsidP="00AA60F9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Подобект: „ХТС в района на ГПП; ОРУ 2; ЗРУ и кабелни </w:t>
      </w:r>
      <w:proofErr w:type="spellStart"/>
      <w:r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подвали</w:t>
      </w:r>
      <w:proofErr w:type="spellEnd"/>
      <w:r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ГПП главен корпус“.</w:t>
      </w:r>
    </w:p>
    <w:p w14:paraId="16191602" w14:textId="77777777" w:rsidR="00AA60F9" w:rsidRPr="00C77017" w:rsidRDefault="00AA60F9" w:rsidP="00AA60F9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- Обект 1: Площадка за повърхностно отводняване СЗ от покрит склад-  </w:t>
      </w:r>
      <w:proofErr w:type="spellStart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част:Геодезическа</w:t>
      </w:r>
      <w:proofErr w:type="spellEnd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конструктивна, обяснителна записка;</w:t>
      </w:r>
    </w:p>
    <w:p w14:paraId="5B6E149B" w14:textId="77777777" w:rsidR="00AA60F9" w:rsidRPr="00C77017" w:rsidRDefault="00AA60F9" w:rsidP="00AA60F9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- Обект 2: Площадка за повърхностно отводняване И-ЮИ от ГПП </w:t>
      </w:r>
      <w:bookmarkStart w:id="3" w:name="_Hlk160112724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-</w:t>
      </w:r>
      <w:proofErr w:type="spellStart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част:Геодезическа</w:t>
      </w:r>
      <w:proofErr w:type="spellEnd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конструктивна, обяснителна записка;</w:t>
      </w:r>
      <w:bookmarkEnd w:id="3"/>
    </w:p>
    <w:p w14:paraId="29195BE5" w14:textId="77777777" w:rsidR="00AA60F9" w:rsidRPr="00C77017" w:rsidRDefault="00AA60F9" w:rsidP="00AA60F9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- Обект 3: Шахта 1 на </w:t>
      </w:r>
      <w:proofErr w:type="spellStart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подклон</w:t>
      </w:r>
      <w:proofErr w:type="spellEnd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2 от северен клон на подземни електросилови канали</w:t>
      </w: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  <w:t>-</w:t>
      </w:r>
      <w:proofErr w:type="spellStart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част:Геодезическа</w:t>
      </w:r>
      <w:proofErr w:type="spellEnd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конструктивна, обяснителна записка;</w:t>
      </w:r>
    </w:p>
    <w:p w14:paraId="04C34E7C" w14:textId="77777777" w:rsidR="00AA60F9" w:rsidRPr="00C77017" w:rsidRDefault="00AA60F9" w:rsidP="00AA60F9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-  Обект 6: </w:t>
      </w:r>
      <w:proofErr w:type="spellStart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Подвал</w:t>
      </w:r>
      <w:proofErr w:type="spellEnd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 ГПП - </w:t>
      </w:r>
      <w:proofErr w:type="spellStart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част:Геодезическа</w:t>
      </w:r>
      <w:proofErr w:type="spellEnd"/>
      <w:r w:rsidRPr="00C7701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ХТС, обяснителна записка;</w:t>
      </w:r>
    </w:p>
    <w:p w14:paraId="1657538B" w14:textId="77777777" w:rsidR="00AD6AFD" w:rsidRPr="00C77017" w:rsidRDefault="00AD6AFD" w:rsidP="00B6510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</w:p>
    <w:p w14:paraId="4F68D5CF" w14:textId="523D579F" w:rsidR="00BD74AE" w:rsidRPr="00C77017" w:rsidRDefault="00BD74AE" w:rsidP="00B6510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C77017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 xml:space="preserve">3. Изисквания за същността /цел/, съдържанието /предмет/ и особеностите на услугата. Технически </w:t>
      </w:r>
      <w:proofErr w:type="spellStart"/>
      <w:r w:rsidRPr="00C77017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спесификации</w:t>
      </w:r>
      <w:proofErr w:type="spellEnd"/>
      <w:r w:rsidRPr="00C77017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.</w:t>
      </w:r>
    </w:p>
    <w:p w14:paraId="03DF516D" w14:textId="77777777" w:rsidR="00BD74AE" w:rsidRPr="00C77017" w:rsidRDefault="00BD74AE" w:rsidP="00E464A6">
      <w:pPr>
        <w:widowControl w:val="0"/>
        <w:numPr>
          <w:ilvl w:val="1"/>
          <w:numId w:val="1"/>
        </w:numPr>
        <w:tabs>
          <w:tab w:val="left" w:pos="0"/>
          <w:tab w:val="num" w:pos="144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Същност /цел/ на услугата:</w:t>
      </w:r>
    </w:p>
    <w:p w14:paraId="73F27B01" w14:textId="09658E7E" w:rsidR="0066737E" w:rsidRPr="00C77017" w:rsidRDefault="00552B10" w:rsidP="0066737E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Целта на задачата е подобряване на химичното и екологичното състояние на р.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Асарелска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р. Банска Луда Яна.</w:t>
      </w:r>
      <w:r w:rsidR="0066737E"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1BAB2D5D" w14:textId="78C68BEA" w:rsidR="00BD74AE" w:rsidRPr="00C77017" w:rsidRDefault="00BD74AE" w:rsidP="0066737E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Съдържание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/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предмет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/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:</w:t>
      </w:r>
    </w:p>
    <w:p w14:paraId="50BCDC94" w14:textId="35E1A150" w:rsidR="00552B10" w:rsidRPr="00C77017" w:rsidRDefault="00BD74AE" w:rsidP="00552B10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 на настоящата поръчка представлява</w:t>
      </w:r>
      <w:r w:rsidR="00552B10" w:rsidRPr="00C770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цялостното изграждане на Подобекти:</w:t>
      </w:r>
      <w:r w:rsidR="00552B10" w:rsidRPr="00C770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2B10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„Корпус едро Трошене“;  „Претоварен възел 2“; „Източен район ПКЗВ“; „ХТС в района на ГПП; ОРУ 2; ЗРУ и кабелни </w:t>
      </w:r>
      <w:proofErr w:type="spellStart"/>
      <w:r w:rsidR="00552B10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подвали</w:t>
      </w:r>
      <w:proofErr w:type="spellEnd"/>
      <w:r w:rsidR="00552B10" w:rsidRPr="00C770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ГПП главен корпус“. </w:t>
      </w:r>
    </w:p>
    <w:p w14:paraId="10F7FAD7" w14:textId="78670AFB" w:rsidR="00BD74AE" w:rsidRPr="00C77017" w:rsidRDefault="00BD74AE" w:rsidP="00BD74AE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45ECA79" w14:textId="77777777" w:rsidR="00784FD6" w:rsidRPr="00C77017" w:rsidRDefault="00BD74AE" w:rsidP="00AF0CF5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Обхват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обем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особености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</w:p>
    <w:p w14:paraId="138A388F" w14:textId="77777777" w:rsidR="00784FD6" w:rsidRPr="00C77017" w:rsidRDefault="00784FD6" w:rsidP="00FD20E1">
      <w:pPr>
        <w:spacing w:after="0"/>
        <w:ind w:firstLine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Реализиране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предмета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услугата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обхваща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дейностите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съответните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части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Работния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проект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описани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Част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І, т.2.</w:t>
      </w:r>
    </w:p>
    <w:p w14:paraId="38A88D0F" w14:textId="34A8B9CA" w:rsidR="00784FD6" w:rsidRPr="00C77017" w:rsidRDefault="00784FD6" w:rsidP="00FD20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реализирането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задачата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/>
          <w:sz w:val="24"/>
          <w:szCs w:val="24"/>
        </w:rPr>
        <w:t>Изпълнителят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Строително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>-</w:t>
      </w:r>
      <w:bookmarkStart w:id="4" w:name="_Hlk154058840"/>
      <w:proofErr w:type="spellStart"/>
      <w:r w:rsidR="0066737E" w:rsidRPr="00C77017">
        <w:rPr>
          <w:rFonts w:ascii="Times New Roman" w:hAnsi="Times New Roman" w:cs="Times New Roman"/>
          <w:sz w:val="24"/>
          <w:szCs w:val="24"/>
          <w:lang w:val="bg-BG"/>
        </w:rPr>
        <w:t>монтажн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>и</w:t>
      </w:r>
      <w:bookmarkEnd w:id="4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работи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изпълни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предвидени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Работния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и </w:t>
      </w:r>
      <w:r w:rsidRPr="00C77017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>.</w:t>
      </w:r>
    </w:p>
    <w:p w14:paraId="35383A63" w14:textId="6EAA9A89" w:rsidR="00784FD6" w:rsidRPr="00C77017" w:rsidRDefault="00784FD6" w:rsidP="00FD20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7017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съобрази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изискванията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Работния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017">
        <w:rPr>
          <w:rFonts w:ascii="Times New Roman" w:hAnsi="Times New Roman" w:cs="Times New Roman"/>
          <w:sz w:val="24"/>
          <w:szCs w:val="24"/>
        </w:rPr>
        <w:t>(</w:t>
      </w:r>
      <w:r w:rsidRPr="00C77017">
        <w:rPr>
          <w:rFonts w:ascii="Times New Roman" w:hAnsi="Times New Roman" w:cs="Times New Roman"/>
          <w:b/>
          <w:sz w:val="24"/>
          <w:szCs w:val="24"/>
        </w:rPr>
        <w:t>Приложение №17</w:t>
      </w:r>
      <w:r w:rsidRPr="00C77017">
        <w:rPr>
          <w:rFonts w:ascii="Times New Roman" w:hAnsi="Times New Roman" w:cs="Times New Roman"/>
          <w:sz w:val="24"/>
          <w:szCs w:val="24"/>
        </w:rPr>
        <w:t>)</w:t>
      </w:r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касаещи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необходимия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обем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вид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66737E" w:rsidRPr="00C77017">
        <w:rPr>
          <w:rFonts w:ascii="Times New Roman" w:hAnsi="Times New Roman" w:cs="Times New Roman"/>
          <w:color w:val="000000"/>
          <w:sz w:val="24"/>
          <w:szCs w:val="24"/>
          <w:lang w:val="bg-BG"/>
        </w:rPr>
        <w:t>М</w:t>
      </w:r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Р и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засягащи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специфичните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както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съществуващите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такива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предвидени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строителство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утвърдени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проекти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работи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обекта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Строително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737E" w:rsidRPr="00C77017">
        <w:t xml:space="preserve"> </w:t>
      </w:r>
      <w:proofErr w:type="spellStart"/>
      <w:r w:rsidR="0066737E" w:rsidRPr="00C77017">
        <w:rPr>
          <w:rFonts w:ascii="Times New Roman" w:hAnsi="Times New Roman" w:cs="Times New Roman"/>
          <w:color w:val="000000"/>
          <w:sz w:val="24"/>
          <w:szCs w:val="24"/>
        </w:rPr>
        <w:t>монтажни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работи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извършат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съгласно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действащите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български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стандарти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нормативи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правилници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инструкции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безопасна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екологични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color w:val="000000"/>
          <w:sz w:val="24"/>
          <w:szCs w:val="24"/>
        </w:rPr>
        <w:t>норми</w:t>
      </w:r>
      <w:proofErr w:type="spellEnd"/>
      <w:r w:rsidRPr="00C770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24BBCF" w14:textId="7A9B1E5E" w:rsidR="00784FD6" w:rsidRPr="00C77017" w:rsidRDefault="00784FD6" w:rsidP="00FD20E1">
      <w:pPr>
        <w:spacing w:after="0"/>
        <w:ind w:firstLine="72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Начина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приемане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извършените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Строително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="0066737E" w:rsidRPr="00C77017">
        <w:t xml:space="preserve"> </w:t>
      </w:r>
      <w:r w:rsidR="0066737E" w:rsidRPr="00C77017">
        <w:rPr>
          <w:rFonts w:ascii="Times New Roman" w:hAnsi="Times New Roman" w:cs="Times New Roman"/>
          <w:bCs/>
          <w:iCs/>
          <w:color w:val="000000"/>
          <w:sz w:val="24"/>
          <w:szCs w:val="24"/>
          <w:lang w:val="bg-BG"/>
        </w:rPr>
        <w:t>монтажни</w:t>
      </w:r>
      <w:r w:rsidR="002252E5" w:rsidRPr="00C77017">
        <w:rPr>
          <w:rFonts w:ascii="Times New Roman" w:hAnsi="Times New Roman" w:cs="Times New Roman"/>
          <w:bCs/>
          <w:iCs/>
          <w:color w:val="000000"/>
          <w:sz w:val="24"/>
          <w:szCs w:val="24"/>
          <w:lang w:val="bg-BG"/>
        </w:rPr>
        <w:t>те</w:t>
      </w:r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работи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описан</w:t>
      </w:r>
      <w:proofErr w:type="spellEnd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</w:t>
      </w:r>
      <w:r w:rsidRPr="00C77017">
        <w:rPr>
          <w:rFonts w:ascii="Times New Roman" w:hAnsi="Times New Roman" w:cs="Times New Roman"/>
          <w:bCs/>
          <w:iCs/>
          <w:sz w:val="24"/>
          <w:szCs w:val="24"/>
        </w:rPr>
        <w:t>т.3.5.</w:t>
      </w:r>
    </w:p>
    <w:p w14:paraId="2145D7DB" w14:textId="77777777" w:rsidR="00784FD6" w:rsidRPr="00C77017" w:rsidRDefault="00784FD6" w:rsidP="00FD20E1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Проектната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документация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C77017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№17</w:t>
      </w:r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електронен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носител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(CD)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ще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бъде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предоставена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Кандидатите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извършване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оглед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обектите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което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е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необходимо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да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бъдат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попълнени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декларации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оглед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конфиденциалност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76B65E" w14:textId="77777777" w:rsidR="00784FD6" w:rsidRPr="00C77017" w:rsidRDefault="00784FD6" w:rsidP="00FD20E1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хода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изпълнение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обекта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Възложителят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запазва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правото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промяна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обема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обхвата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всички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видове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работи</w:t>
      </w:r>
      <w:proofErr w:type="spellEnd"/>
      <w:r w:rsidRPr="00C7701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583EE467" w14:textId="77777777" w:rsidR="00BD74AE" w:rsidRPr="00C77017" w:rsidRDefault="00BD74AE" w:rsidP="00751C1F">
      <w:pPr>
        <w:keepNext/>
        <w:numPr>
          <w:ilvl w:val="1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bookmarkStart w:id="5" w:name="_Toc267032188"/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Качествени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изисквания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към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материали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изпълнение</w:t>
      </w:r>
      <w:bookmarkEnd w:id="5"/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</w:p>
    <w:p w14:paraId="7FCD1C5B" w14:textId="29F55613" w:rsidR="00C60782" w:rsidRPr="00C77017" w:rsidRDefault="00BD74AE" w:rsidP="00667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използват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част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специфицирани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r w:rsidRPr="00C770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Приложение №2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към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заданието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="004D773F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Някои</w:t>
      </w:r>
      <w:proofErr w:type="spellEnd"/>
      <w:r w:rsidR="004D773F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4D773F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="004D773F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4D773F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тях</w:t>
      </w:r>
      <w:proofErr w:type="spellEnd"/>
      <w:r w:rsidR="004D773F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4D773F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</w:t>
      </w:r>
      <w:proofErr w:type="spellEnd"/>
      <w:r w:rsidR="004D773F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:</w:t>
      </w:r>
    </w:p>
    <w:p w14:paraId="627DB135" w14:textId="31D14C0C" w:rsidR="007201B0" w:rsidRPr="00C77017" w:rsidRDefault="004D773F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-</w:t>
      </w:r>
      <w:r w:rsidR="0066737E" w:rsidRPr="00C77017">
        <w:t xml:space="preserve"> </w:t>
      </w:r>
      <w:proofErr w:type="spellStart"/>
      <w:r w:rsidR="007201B0"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Канавка</w:t>
      </w:r>
      <w:proofErr w:type="spellEnd"/>
      <w:r w:rsidR="007201B0"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ТИП 2-корито </w:t>
      </w:r>
      <w:proofErr w:type="spellStart"/>
      <w:r w:rsidR="007201B0"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ст.б</w:t>
      </w:r>
      <w:proofErr w:type="spellEnd"/>
      <w:r w:rsidR="007201B0"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. 53/30/200, L=2.0 m;</w:t>
      </w:r>
    </w:p>
    <w:p w14:paraId="0B043BFD" w14:textId="77777777" w:rsidR="007201B0" w:rsidRPr="00C77017" w:rsidRDefault="007201B0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-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Канавка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ЕО-1.5-100, ТИП 1;</w:t>
      </w:r>
    </w:p>
    <w:p w14:paraId="67A68531" w14:textId="77777777" w:rsidR="007201B0" w:rsidRPr="00C77017" w:rsidRDefault="007201B0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F620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- Тръба ф325/7, стомана, спирално заварена;</w:t>
      </w:r>
    </w:p>
    <w:p w14:paraId="7A509C0A" w14:textId="77777777" w:rsidR="007201B0" w:rsidRPr="00C77017" w:rsidRDefault="007201B0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- Тръба 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HDPE ф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200, 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SN8;</w:t>
      </w:r>
    </w:p>
    <w:p w14:paraId="017F136A" w14:textId="77777777" w:rsidR="007201B0" w:rsidRPr="00C77017" w:rsidRDefault="007201B0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Тръба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DN160 mm HDPE PN4;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            </w:t>
      </w:r>
    </w:p>
    <w:p w14:paraId="03186CA7" w14:textId="77777777" w:rsidR="007201B0" w:rsidRPr="00C77017" w:rsidRDefault="007201B0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-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Тръба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HDPE ф160 SDR26 PN6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;      </w:t>
      </w:r>
    </w:p>
    <w:p w14:paraId="5B0CFD69" w14:textId="77777777" w:rsidR="007201B0" w:rsidRPr="00C77017" w:rsidRDefault="007201B0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-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Тръба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DN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31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5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,  HDPE SN4</w:t>
      </w:r>
    </w:p>
    <w:p w14:paraId="1C629A12" w14:textId="77777777" w:rsidR="007201B0" w:rsidRPr="00C77017" w:rsidRDefault="007201B0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Бетон 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C25/30, W0.6, XF2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и С 8/10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  </w:t>
      </w:r>
    </w:p>
    <w:p w14:paraId="0DBD6581" w14:textId="77777777" w:rsidR="007201B0" w:rsidRPr="00C77017" w:rsidRDefault="007201B0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- Армировка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57F80C7" w14:textId="35EBCBD9" w:rsidR="00BD74AE" w:rsidRPr="00C77017" w:rsidRDefault="00BD74AE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Влаганите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трябва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бъдат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съответствие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приетите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проектни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решения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с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необходимата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здравина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дълготрайност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целите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бъдат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използвани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всички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вложени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трябва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представят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спецификации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сертификати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декларации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съответствие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влаганите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Всяко</w:t>
      </w:r>
      <w:proofErr w:type="spellEnd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изделие</w:t>
      </w:r>
      <w:proofErr w:type="spellEnd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трябва</w:t>
      </w:r>
      <w:proofErr w:type="spellEnd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да</w:t>
      </w:r>
      <w:proofErr w:type="spellEnd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е </w:t>
      </w:r>
      <w:proofErr w:type="spellStart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окомплектовано</w:t>
      </w:r>
      <w:proofErr w:type="spellEnd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със</w:t>
      </w:r>
      <w:proofErr w:type="spellEnd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сертификат</w:t>
      </w:r>
      <w:proofErr w:type="spellEnd"/>
      <w:r w:rsidR="00951C2D" w:rsidRPr="00C770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bg-BG"/>
        </w:rPr>
        <w:t>.</w:t>
      </w:r>
    </w:p>
    <w:p w14:paraId="677C33EC" w14:textId="3408236A" w:rsidR="00BD74AE" w:rsidRPr="00C77017" w:rsidRDefault="00BD74AE" w:rsidP="00751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Предвидените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съответстват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изискванията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БДС и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европейските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стандарти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Кандидатите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е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декларират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спазват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съответните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стандарти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влаганите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610602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</w:t>
      </w:r>
      <w:r w:rsidR="0066737E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М</w:t>
      </w:r>
      <w:r w:rsidR="00610602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</w:t>
      </w:r>
      <w:r w:rsidR="0066737E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/в </w:t>
      </w:r>
      <w:r w:rsidRPr="00C770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Приложение №9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/.</w:t>
      </w:r>
    </w:p>
    <w:p w14:paraId="22E0D893" w14:textId="77777777" w:rsidR="00BD74AE" w:rsidRPr="00C77017" w:rsidRDefault="00BD74AE" w:rsidP="00BD74A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Всяка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една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доставка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крупни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или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оборудване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ИЗПЪЛНИТЕЛЯ е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длъжен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предварително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съгласува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r w:rsidRPr="00C77017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en-AU"/>
        </w:rPr>
        <w:t>Възложителя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етапа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проучването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доставяне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а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заявяването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им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</w:p>
    <w:p w14:paraId="26E15233" w14:textId="77777777" w:rsidR="00BD74AE" w:rsidRPr="00C77017" w:rsidRDefault="00BD74AE" w:rsidP="00751C1F">
      <w:pPr>
        <w:keepNext/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bookmarkStart w:id="6" w:name="_Toc267032189"/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Контрол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изпълнението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критерии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приемане</w:t>
      </w:r>
      <w:bookmarkEnd w:id="6"/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извършената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работа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</w:p>
    <w:p w14:paraId="2D1B3D5A" w14:textId="77777777" w:rsidR="00D348FD" w:rsidRPr="00C77017" w:rsidRDefault="00B75B06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стартиране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задачата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C770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ВЪЗЛОЖИТЕЛЯТ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дава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линия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ниво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090D82D6" w14:textId="391697E7" w:rsidR="00BD74AE" w:rsidRPr="00C77017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C770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ВЪЗЛОЖИТЕЛЯТ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има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право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посещава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площадката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610602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</w:t>
      </w:r>
      <w:r w:rsidR="0066737E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М</w:t>
      </w:r>
      <w:r w:rsidR="00610602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всяко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едно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време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с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цел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върху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спазване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Работния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качеството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Контролът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610602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</w:t>
      </w:r>
      <w:r w:rsidR="0066737E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М</w:t>
      </w:r>
      <w:r w:rsidR="00610602"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осъществява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C770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или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негов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упълномощен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Инвеститорски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) и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Проектант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отнася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всички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дейности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предмет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Договора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6660F6C0" w14:textId="77777777" w:rsidR="00BD74AE" w:rsidRPr="00C77017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C77017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Възложителят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право да посещава производствената база по всяко едно време по време на производството на металните конструкции с цел контрол върху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качеството /почистване, заваряване, боядисване и др./</w:t>
      </w:r>
    </w:p>
    <w:p w14:paraId="30E707A1" w14:textId="77777777" w:rsidR="00BD74AE" w:rsidRPr="00C77017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C77017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Възложителят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има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право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бъде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сглобен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произволен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тип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секция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цел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доказване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точността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съответствието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й с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тези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A1C8A33" w14:textId="77777777" w:rsidR="00BD74AE" w:rsidRPr="00C77017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lastRenderedPageBreak/>
        <w:t>Стоманените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конструкции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пристигат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площадката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Асарел-Медет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в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насипен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вид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грундирани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боядисани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опаковани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придружени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експедиционна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бележка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опис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съдържанието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всеки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курс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кантарна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бележка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кантара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Асарел-Медет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като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теглата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не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трябва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надвишават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теглата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производствените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чертежи</w:t>
      </w:r>
      <w:proofErr w:type="spellEnd"/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.</w:t>
      </w:r>
    </w:p>
    <w:p w14:paraId="23EE90C9" w14:textId="77777777" w:rsidR="00BD74AE" w:rsidRPr="00C77017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C77017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val="en-AU"/>
        </w:rPr>
        <w:t>ВЪЗЛОЖИТЕЛЯТ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упражнява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върху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дебелината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антикорозионното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покритие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металните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конструкции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чрез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електронен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дебеломер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23522B9" w14:textId="77777777" w:rsidR="00BD74AE" w:rsidRPr="00C77017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C77017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val="en-AU"/>
        </w:rPr>
        <w:t>ВъзложителяТ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упражнява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върху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дебелината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стените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металните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конструкции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B81D36C" w14:textId="77777777" w:rsidR="00BD74AE" w:rsidRPr="00C77017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Специалисти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C77017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упражняват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визуален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процеса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изработката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след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доставка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металните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конструкции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качеството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материали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заваръчни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шевове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технологични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отвори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антикорозионно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покритие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др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./</w:t>
      </w:r>
    </w:p>
    <w:p w14:paraId="5E98A342" w14:textId="77777777" w:rsidR="0042172A" w:rsidRPr="00C77017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C770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ИЗПЪЛНИТЕЛЯТ</w:t>
      </w:r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длъжен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представи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дневник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заваръчните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изпълнявани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производствената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база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отделните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типове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елементи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придружен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протоколи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заваръчните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шевове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сертификати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вложените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материали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профили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листова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ламарина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електроди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скрепителни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елементи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др</w:t>
      </w:r>
      <w:proofErr w:type="spellEnd"/>
      <w:r w:rsidRPr="00C77017">
        <w:rPr>
          <w:rFonts w:ascii="Times New Roman" w:eastAsia="Times New Roman" w:hAnsi="Times New Roman" w:cs="Times New Roman"/>
          <w:sz w:val="24"/>
          <w:szCs w:val="24"/>
          <w:lang w:val="en-AU"/>
        </w:rPr>
        <w:t>./</w:t>
      </w:r>
    </w:p>
    <w:p w14:paraId="20BC10B1" w14:textId="77777777" w:rsidR="0042172A" w:rsidRPr="00C77017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C77017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C7701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длъжен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монтажните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заваръчни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работи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изпълнявани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>.</w:t>
      </w:r>
    </w:p>
    <w:p w14:paraId="69D9177C" w14:textId="77777777" w:rsidR="0042172A" w:rsidRPr="00C77017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изделие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окомплектовано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работилница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дадени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проектната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и ПИПСМР,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сертификати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вложени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сертификати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декларации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заварчиците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безразрушителен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заваръчните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съединения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визуален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механично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измерване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дебелината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заваръчните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шевове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обезмасляване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постигната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блясък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метала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вследствие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песъкоструене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дребоструене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положено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запечатващо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първично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покритие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измерване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дебелината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грунда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измерване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обща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дебелина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финишното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покритие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изделието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>.</w:t>
      </w:r>
    </w:p>
    <w:p w14:paraId="4866F14C" w14:textId="77777777" w:rsidR="0042172A" w:rsidRPr="00C77017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Доставените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ИЗПЪЛНИТЕЛЯ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придружени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сертификати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>.</w:t>
      </w:r>
    </w:p>
    <w:p w14:paraId="3043D71D" w14:textId="77777777" w:rsidR="0042172A" w:rsidRPr="00C77017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Доставената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ИЗПЪЛНИТЕЛЯ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апаратура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оборудване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придружени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сертификати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технически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гаранционна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03998" w14:textId="2C67D509" w:rsidR="0042172A" w:rsidRPr="00C77017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="0087217C" w:rsidRPr="00C7701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770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sz w:val="24"/>
          <w:szCs w:val="24"/>
        </w:rPr>
        <w:t xml:space="preserve"> АКЗ</w:t>
      </w:r>
      <w:r w:rsidRPr="00C77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C77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C77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sz w:val="24"/>
          <w:szCs w:val="24"/>
        </w:rPr>
        <w:t>спазват</w:t>
      </w:r>
      <w:proofErr w:type="spellEnd"/>
      <w:r w:rsidRPr="00C77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sz w:val="24"/>
          <w:szCs w:val="24"/>
        </w:rPr>
        <w:t>изискванията</w:t>
      </w:r>
      <w:proofErr w:type="spellEnd"/>
      <w:r w:rsidRPr="00C77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sz w:val="24"/>
          <w:szCs w:val="24"/>
        </w:rPr>
        <w:t>дадени</w:t>
      </w:r>
      <w:proofErr w:type="spellEnd"/>
      <w:r w:rsidRPr="00C7701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C77017">
        <w:rPr>
          <w:rFonts w:ascii="Times New Roman" w:hAnsi="Times New Roman" w:cs="Times New Roman"/>
          <w:bCs/>
          <w:sz w:val="24"/>
          <w:szCs w:val="24"/>
        </w:rPr>
        <w:t>проектната</w:t>
      </w:r>
      <w:proofErr w:type="spellEnd"/>
      <w:r w:rsidRPr="00C770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sz w:val="24"/>
          <w:szCs w:val="24"/>
        </w:rPr>
        <w:t>документация</w:t>
      </w:r>
      <w:proofErr w:type="spellEnd"/>
      <w:r w:rsidRPr="00C770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CE4FB0" w14:textId="77777777" w:rsidR="00725D84" w:rsidRPr="00C77017" w:rsidRDefault="00725D84" w:rsidP="00725D84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ВЪЗЛОЖИТЕЛЯТ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осъществява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чрез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геодезическа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фирма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обемите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изкопно-насипни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дейности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контури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насипната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площи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др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., и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само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обемите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положени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работния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</w:t>
      </w:r>
      <w:proofErr w:type="spellEnd"/>
      <w:r w:rsidRPr="00C77017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2BD3FA1E" w14:textId="77777777" w:rsidR="0042172A" w:rsidRPr="00C77017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Съгласно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ЗУТ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Чл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>. 170. (1) (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Изм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. - ДВ,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бр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. 65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2003 г.)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всички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обстоятелства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свързани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обекта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като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предаване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приемане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строителната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площадка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строителни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монтажни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работи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подлежащи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закриване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междинни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заключителни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актове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приемане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предаване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строителни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монтажни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работи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други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документират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представителите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страните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сключените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договори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2F08F1" w14:textId="77777777" w:rsidR="0042172A" w:rsidRPr="00C77017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C77017">
        <w:rPr>
          <w:rFonts w:ascii="Times New Roman" w:hAnsi="Times New Roman" w:cs="Times New Roman"/>
          <w:b/>
          <w:bCs/>
          <w:iCs/>
          <w:sz w:val="24"/>
          <w:szCs w:val="24"/>
        </w:rPr>
        <w:t>ИЗПЪЛНИТЕЛЯТ</w:t>
      </w:r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подсигурява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технически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ръководител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координатор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БЗР,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координатор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отпадъците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собствен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геодезист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които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ще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контролират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изпълнението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задачата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D7700A8" w14:textId="2E1367A1" w:rsidR="0042172A" w:rsidRPr="00C77017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Предаването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извършените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r w:rsidR="0066737E" w:rsidRPr="00C77017">
        <w:rPr>
          <w:rFonts w:ascii="Times New Roman" w:hAnsi="Times New Roman" w:cs="Times New Roman"/>
          <w:bCs/>
          <w:iCs/>
          <w:sz w:val="24"/>
          <w:szCs w:val="24"/>
          <w:lang w:val="bg-BG"/>
        </w:rPr>
        <w:t>М</w:t>
      </w:r>
      <w:r w:rsidRPr="00C77017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C770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извършва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подписан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7017">
        <w:rPr>
          <w:rFonts w:ascii="Times New Roman" w:hAnsi="Times New Roman" w:cs="Times New Roman"/>
          <w:b/>
          <w:bCs/>
          <w:iCs/>
          <w:sz w:val="24"/>
          <w:szCs w:val="24"/>
        </w:rPr>
        <w:t>ИЗПЪЛНИТЕЛ</w:t>
      </w:r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Pr="00C77017">
        <w:rPr>
          <w:rFonts w:ascii="Times New Roman" w:hAnsi="Times New Roman" w:cs="Times New Roman"/>
          <w:b/>
          <w:bCs/>
          <w:iCs/>
          <w:sz w:val="24"/>
          <w:szCs w:val="24"/>
        </w:rPr>
        <w:t>ВЪЗЛОЖИТЕЛ</w:t>
      </w:r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чрез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упълномощени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тях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представители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двустранен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констативен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приемо-предавателен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протокол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който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описват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подробно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изпълнените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видове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работи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количества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096117A8" w14:textId="77777777" w:rsidR="0042172A" w:rsidRPr="00C77017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Приемането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всеки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етап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обекта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ще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извършва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комисия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състав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определен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7017">
        <w:rPr>
          <w:rFonts w:ascii="Times New Roman" w:hAnsi="Times New Roman" w:cs="Times New Roman"/>
          <w:b/>
          <w:bCs/>
          <w:iCs/>
          <w:sz w:val="24"/>
          <w:szCs w:val="24"/>
        </w:rPr>
        <w:t>ВЪЗЛОЖИТЕЛЯ</w:t>
      </w:r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присъствие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техническия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ръководител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геодезиста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7017">
        <w:rPr>
          <w:rFonts w:ascii="Times New Roman" w:hAnsi="Times New Roman" w:cs="Times New Roman"/>
          <w:b/>
          <w:bCs/>
          <w:iCs/>
          <w:sz w:val="24"/>
          <w:szCs w:val="24"/>
        </w:rPr>
        <w:t>ИЗПЪЛНИТЕЛЯ</w:t>
      </w:r>
      <w:r w:rsidRPr="00C77017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CD54DC9" w14:textId="4908B172" w:rsidR="0042172A" w:rsidRPr="00C77017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Изпълненият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обем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r w:rsidR="0066737E" w:rsidRPr="00C77017">
        <w:rPr>
          <w:rFonts w:ascii="Times New Roman" w:hAnsi="Times New Roman" w:cs="Times New Roman"/>
          <w:bCs/>
          <w:iCs/>
          <w:sz w:val="24"/>
          <w:szCs w:val="24"/>
          <w:lang w:val="bg-BG"/>
        </w:rPr>
        <w:t>М</w:t>
      </w:r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Р,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подлежащи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заплащане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ще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отчита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заплаща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въз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основа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следните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7017">
        <w:rPr>
          <w:rFonts w:ascii="Times New Roman" w:hAnsi="Times New Roman" w:cs="Times New Roman"/>
          <w:bCs/>
          <w:iCs/>
          <w:sz w:val="24"/>
          <w:szCs w:val="24"/>
        </w:rPr>
        <w:t>документи</w:t>
      </w:r>
      <w:proofErr w:type="spellEnd"/>
      <w:r w:rsidRPr="00C7701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4E161C58" w14:textId="364F8E0A" w:rsidR="0042172A" w:rsidRPr="00C77017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C77017">
        <w:rPr>
          <w:bCs/>
          <w:iCs/>
          <w:sz w:val="24"/>
          <w:szCs w:val="24"/>
        </w:rPr>
        <w:t>количествено-стойностна сметка (протокол за установяване и заплащане на извършените видове С</w:t>
      </w:r>
      <w:r w:rsidR="0066737E" w:rsidRPr="00C77017">
        <w:rPr>
          <w:bCs/>
          <w:iCs/>
          <w:sz w:val="24"/>
          <w:szCs w:val="24"/>
        </w:rPr>
        <w:t>М</w:t>
      </w:r>
      <w:r w:rsidRPr="00C77017">
        <w:rPr>
          <w:bCs/>
          <w:iCs/>
          <w:sz w:val="24"/>
          <w:szCs w:val="24"/>
        </w:rPr>
        <w:t xml:space="preserve">Р с натрупване от началото на изпълнението, подписана от представители на </w:t>
      </w:r>
      <w:r w:rsidRPr="00C77017">
        <w:rPr>
          <w:b/>
          <w:bCs/>
          <w:iCs/>
          <w:sz w:val="24"/>
          <w:szCs w:val="24"/>
        </w:rPr>
        <w:t>ВЪЗЛОЖИТЕЛЯ</w:t>
      </w:r>
      <w:r w:rsidRPr="00C77017">
        <w:rPr>
          <w:bCs/>
          <w:iCs/>
          <w:sz w:val="24"/>
          <w:szCs w:val="24"/>
        </w:rPr>
        <w:t xml:space="preserve"> и </w:t>
      </w:r>
      <w:r w:rsidRPr="00C77017">
        <w:rPr>
          <w:b/>
          <w:bCs/>
          <w:iCs/>
          <w:sz w:val="24"/>
          <w:szCs w:val="24"/>
        </w:rPr>
        <w:t>ИЗПЪЛНИТЕЛЯ</w:t>
      </w:r>
      <w:r w:rsidRPr="00C77017">
        <w:rPr>
          <w:bCs/>
          <w:iCs/>
          <w:sz w:val="24"/>
          <w:szCs w:val="24"/>
        </w:rPr>
        <w:t>;</w:t>
      </w:r>
    </w:p>
    <w:p w14:paraId="414A2D6B" w14:textId="773B6AEA" w:rsidR="0042172A" w:rsidRPr="00C77017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C77017">
        <w:rPr>
          <w:bCs/>
          <w:iCs/>
          <w:sz w:val="24"/>
          <w:szCs w:val="24"/>
        </w:rPr>
        <w:t xml:space="preserve">подробна количествена сметка и екзекутивни чертежи </w:t>
      </w:r>
      <w:r w:rsidRPr="00C77017">
        <w:rPr>
          <w:sz w:val="24"/>
          <w:szCs w:val="24"/>
          <w:lang w:val="ru-RU"/>
        </w:rPr>
        <w:t>с точни данни и размери на изпълнените работи</w:t>
      </w:r>
      <w:r w:rsidRPr="00C77017">
        <w:rPr>
          <w:bCs/>
          <w:iCs/>
          <w:sz w:val="24"/>
          <w:szCs w:val="24"/>
        </w:rPr>
        <w:t xml:space="preserve"> към всеки протокол за установяване и заплащане на извършените видове С</w:t>
      </w:r>
      <w:r w:rsidR="003E37EE" w:rsidRPr="00C77017">
        <w:rPr>
          <w:bCs/>
          <w:iCs/>
          <w:sz w:val="24"/>
          <w:szCs w:val="24"/>
        </w:rPr>
        <w:t>М</w:t>
      </w:r>
      <w:r w:rsidRPr="00C77017">
        <w:rPr>
          <w:bCs/>
          <w:iCs/>
          <w:sz w:val="24"/>
          <w:szCs w:val="24"/>
        </w:rPr>
        <w:t xml:space="preserve">Р, подписана от представители на </w:t>
      </w:r>
      <w:r w:rsidRPr="00C77017">
        <w:rPr>
          <w:b/>
          <w:bCs/>
          <w:iCs/>
          <w:sz w:val="24"/>
          <w:szCs w:val="24"/>
        </w:rPr>
        <w:t>ВЪЗЛОЖИТЕЛЯ</w:t>
      </w:r>
      <w:r w:rsidRPr="00C77017">
        <w:rPr>
          <w:bCs/>
          <w:iCs/>
          <w:sz w:val="24"/>
          <w:szCs w:val="24"/>
        </w:rPr>
        <w:t xml:space="preserve">, </w:t>
      </w:r>
      <w:r w:rsidRPr="00C77017">
        <w:rPr>
          <w:b/>
          <w:bCs/>
          <w:iCs/>
          <w:sz w:val="24"/>
          <w:szCs w:val="24"/>
        </w:rPr>
        <w:t>ИЗПЪЛНИТЕЛЯ</w:t>
      </w:r>
      <w:r w:rsidRPr="00C77017">
        <w:rPr>
          <w:bCs/>
          <w:iCs/>
          <w:sz w:val="24"/>
          <w:szCs w:val="24"/>
        </w:rPr>
        <w:t xml:space="preserve"> и ПРОЕКТАНТА на база приложени документи обезпечаващи качеството;</w:t>
      </w:r>
    </w:p>
    <w:p w14:paraId="55BD265B" w14:textId="77777777" w:rsidR="0042172A" w:rsidRPr="00C77017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C77017">
        <w:rPr>
          <w:bCs/>
          <w:iCs/>
          <w:sz w:val="24"/>
          <w:szCs w:val="24"/>
        </w:rPr>
        <w:t xml:space="preserve">протоколи за приемане на скрити работи </w:t>
      </w:r>
      <w:r w:rsidRPr="00C77017">
        <w:rPr>
          <w:sz w:val="24"/>
          <w:szCs w:val="24"/>
          <w:lang w:val="ru-RU"/>
        </w:rPr>
        <w:t xml:space="preserve">(задължително придружени със снимков материал с обозначен мащаб) </w:t>
      </w:r>
      <w:r w:rsidRPr="00C77017">
        <w:rPr>
          <w:bCs/>
          <w:iCs/>
          <w:sz w:val="24"/>
          <w:szCs w:val="24"/>
        </w:rPr>
        <w:t xml:space="preserve">и други изискуеми документи по образци съгласно Наредба №3/31.07.2003 г. за съставяне на актове и протоколи по време на строителството и изискванията на ПИПСМР, заверени от </w:t>
      </w:r>
      <w:r w:rsidRPr="00C77017">
        <w:rPr>
          <w:b/>
          <w:bCs/>
          <w:iCs/>
          <w:sz w:val="24"/>
          <w:szCs w:val="24"/>
        </w:rPr>
        <w:t>ВЪЗЛОЖИТЕЛЯ</w:t>
      </w:r>
      <w:r w:rsidRPr="00C77017">
        <w:rPr>
          <w:bCs/>
          <w:iCs/>
          <w:sz w:val="24"/>
          <w:szCs w:val="24"/>
        </w:rPr>
        <w:t xml:space="preserve"> и ПРОЕКТАНТА;</w:t>
      </w:r>
    </w:p>
    <w:p w14:paraId="54754BA5" w14:textId="77777777" w:rsidR="0042172A" w:rsidRPr="00C77017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C77017">
        <w:rPr>
          <w:bCs/>
          <w:iCs/>
          <w:sz w:val="24"/>
          <w:szCs w:val="24"/>
        </w:rPr>
        <w:t>декларация за съответствие (сертификат) на материалите, полуфабрикатите и изделията;</w:t>
      </w:r>
    </w:p>
    <w:p w14:paraId="32E3E9EF" w14:textId="2C8C6C4D" w:rsidR="0042172A" w:rsidRPr="00723138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723138">
        <w:rPr>
          <w:bCs/>
          <w:iCs/>
          <w:sz w:val="24"/>
          <w:szCs w:val="24"/>
        </w:rPr>
        <w:t>анализи за единичните цени на изпълнените С</w:t>
      </w:r>
      <w:r w:rsidR="003E37EE" w:rsidRPr="00723138">
        <w:rPr>
          <w:bCs/>
          <w:iCs/>
          <w:sz w:val="24"/>
          <w:szCs w:val="24"/>
        </w:rPr>
        <w:t>М</w:t>
      </w:r>
      <w:r w:rsidRPr="00723138">
        <w:rPr>
          <w:bCs/>
          <w:iCs/>
          <w:sz w:val="24"/>
          <w:szCs w:val="24"/>
        </w:rPr>
        <w:t>Р, които не са определени в КСС, приложена към Договора;</w:t>
      </w:r>
    </w:p>
    <w:p w14:paraId="6C924C5D" w14:textId="77777777" w:rsidR="0042172A" w:rsidRPr="00723138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723138">
        <w:rPr>
          <w:bCs/>
          <w:iCs/>
          <w:sz w:val="24"/>
          <w:szCs w:val="24"/>
        </w:rPr>
        <w:t>искане за плащане (сметка обр. 22);</w:t>
      </w:r>
    </w:p>
    <w:p w14:paraId="4388841F" w14:textId="481C09BF" w:rsidR="0042172A" w:rsidRPr="00723138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723138">
        <w:rPr>
          <w:bCs/>
          <w:iCs/>
          <w:sz w:val="24"/>
          <w:szCs w:val="24"/>
        </w:rPr>
        <w:t xml:space="preserve">при </w:t>
      </w:r>
      <w:proofErr w:type="spellStart"/>
      <w:r w:rsidRPr="00723138">
        <w:rPr>
          <w:bCs/>
          <w:iCs/>
          <w:sz w:val="24"/>
          <w:szCs w:val="24"/>
        </w:rPr>
        <w:t>непредставяне</w:t>
      </w:r>
      <w:proofErr w:type="spellEnd"/>
      <w:r w:rsidRPr="00723138">
        <w:rPr>
          <w:bCs/>
          <w:iCs/>
          <w:sz w:val="24"/>
          <w:szCs w:val="24"/>
        </w:rPr>
        <w:t xml:space="preserve"> на някой от изредените документи не следва да бъде извършено разплащане на актуваните С</w:t>
      </w:r>
      <w:r w:rsidR="003E37EE" w:rsidRPr="00723138">
        <w:rPr>
          <w:bCs/>
          <w:iCs/>
          <w:sz w:val="24"/>
          <w:szCs w:val="24"/>
        </w:rPr>
        <w:t>М</w:t>
      </w:r>
      <w:r w:rsidRPr="00723138">
        <w:rPr>
          <w:bCs/>
          <w:iCs/>
          <w:sz w:val="24"/>
          <w:szCs w:val="24"/>
        </w:rPr>
        <w:t>Р;</w:t>
      </w:r>
    </w:p>
    <w:p w14:paraId="6741684F" w14:textId="4C70B728" w:rsidR="0042172A" w:rsidRPr="00723138" w:rsidRDefault="0042172A" w:rsidP="00751C1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723138">
        <w:rPr>
          <w:b/>
          <w:bCs/>
          <w:iCs/>
          <w:sz w:val="24"/>
          <w:szCs w:val="24"/>
        </w:rPr>
        <w:t>ИЗПЪЛНИТЕЛЯТ</w:t>
      </w:r>
      <w:r w:rsidRPr="00723138">
        <w:rPr>
          <w:bCs/>
          <w:iCs/>
          <w:sz w:val="24"/>
          <w:szCs w:val="24"/>
        </w:rPr>
        <w:t xml:space="preserve"> е длъжен да актува само, изцяло завършени на 100% и годни за приемане С</w:t>
      </w:r>
      <w:r w:rsidR="00723138">
        <w:rPr>
          <w:bCs/>
          <w:iCs/>
          <w:sz w:val="24"/>
          <w:szCs w:val="24"/>
        </w:rPr>
        <w:t>М</w:t>
      </w:r>
      <w:r w:rsidRPr="00723138">
        <w:rPr>
          <w:bCs/>
          <w:iCs/>
          <w:sz w:val="24"/>
          <w:szCs w:val="24"/>
        </w:rPr>
        <w:t>Р;</w:t>
      </w:r>
    </w:p>
    <w:p w14:paraId="534B90BD" w14:textId="5C21BB89" w:rsidR="0042172A" w:rsidRPr="00723138" w:rsidRDefault="0042172A" w:rsidP="00751C1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723138">
        <w:rPr>
          <w:bCs/>
          <w:iCs/>
          <w:sz w:val="24"/>
          <w:szCs w:val="24"/>
        </w:rPr>
        <w:t>В срок от 7 (седем) работни дни след получаване на уведомителното писмо и документите за доказване и актуване на извършените</w:t>
      </w:r>
      <w:r w:rsidR="003E37EE" w:rsidRPr="00723138">
        <w:rPr>
          <w:bCs/>
          <w:iCs/>
          <w:sz w:val="24"/>
          <w:szCs w:val="24"/>
        </w:rPr>
        <w:t xml:space="preserve"> </w:t>
      </w:r>
      <w:r w:rsidRPr="00723138">
        <w:rPr>
          <w:bCs/>
          <w:iCs/>
          <w:sz w:val="24"/>
          <w:szCs w:val="24"/>
        </w:rPr>
        <w:t>С</w:t>
      </w:r>
      <w:r w:rsidR="003E37EE" w:rsidRPr="00723138">
        <w:rPr>
          <w:bCs/>
          <w:iCs/>
          <w:sz w:val="24"/>
          <w:szCs w:val="24"/>
        </w:rPr>
        <w:t>М</w:t>
      </w:r>
      <w:r w:rsidRPr="00723138">
        <w:rPr>
          <w:bCs/>
          <w:iCs/>
          <w:sz w:val="24"/>
          <w:szCs w:val="24"/>
        </w:rPr>
        <w:t xml:space="preserve">Р, </w:t>
      </w:r>
      <w:r w:rsidRPr="00723138">
        <w:rPr>
          <w:b/>
          <w:bCs/>
          <w:iCs/>
          <w:sz w:val="24"/>
          <w:szCs w:val="24"/>
        </w:rPr>
        <w:t>ВЪЗЛОЖИТЕЛЯТ</w:t>
      </w:r>
      <w:r w:rsidRPr="00723138">
        <w:rPr>
          <w:bCs/>
          <w:iCs/>
          <w:sz w:val="24"/>
          <w:szCs w:val="24"/>
        </w:rPr>
        <w:t xml:space="preserve"> е длъжен да направи оглед на представените за приемане С</w:t>
      </w:r>
      <w:r w:rsidR="003E37EE" w:rsidRPr="00723138">
        <w:rPr>
          <w:bCs/>
          <w:iCs/>
          <w:sz w:val="24"/>
          <w:szCs w:val="24"/>
        </w:rPr>
        <w:t>М</w:t>
      </w:r>
      <w:r w:rsidRPr="00723138">
        <w:rPr>
          <w:bCs/>
          <w:iCs/>
          <w:sz w:val="24"/>
          <w:szCs w:val="24"/>
        </w:rPr>
        <w:t>Р и ги приеме (ако следва) или да разпореди поправянето им чрез мотивирано предписание, след което да направи необходимите корекции на документите и да ги подпише. За доказване приемането на етапа С</w:t>
      </w:r>
      <w:r w:rsidR="003E37EE" w:rsidRPr="00723138">
        <w:rPr>
          <w:bCs/>
          <w:iCs/>
          <w:sz w:val="24"/>
          <w:szCs w:val="24"/>
        </w:rPr>
        <w:t>М</w:t>
      </w:r>
      <w:r w:rsidRPr="00723138">
        <w:rPr>
          <w:bCs/>
          <w:iCs/>
          <w:sz w:val="24"/>
          <w:szCs w:val="24"/>
        </w:rPr>
        <w:t>Р се съставя двустранно подписан приемо-предавателен протокол;</w:t>
      </w:r>
    </w:p>
    <w:p w14:paraId="14FC8E09" w14:textId="315CD27F" w:rsidR="0042172A" w:rsidRPr="00723138" w:rsidRDefault="0042172A" w:rsidP="00751C1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723138">
        <w:rPr>
          <w:bCs/>
          <w:iCs/>
          <w:sz w:val="24"/>
          <w:szCs w:val="24"/>
        </w:rPr>
        <w:t>Разплащането на изпълнените работи ще се извършва по стойността на подписания протокол за установяване и заплащане на извършените видове С</w:t>
      </w:r>
      <w:r w:rsidR="003E37EE" w:rsidRPr="00723138">
        <w:rPr>
          <w:bCs/>
          <w:iCs/>
          <w:sz w:val="24"/>
          <w:szCs w:val="24"/>
        </w:rPr>
        <w:t>М</w:t>
      </w:r>
      <w:r w:rsidRPr="00723138">
        <w:rPr>
          <w:bCs/>
          <w:iCs/>
          <w:sz w:val="24"/>
          <w:szCs w:val="24"/>
        </w:rPr>
        <w:t>Р по условията на Договора;</w:t>
      </w:r>
    </w:p>
    <w:p w14:paraId="37E1ADE9" w14:textId="2501D8D0" w:rsidR="0042172A" w:rsidRPr="00723138" w:rsidRDefault="0042172A" w:rsidP="00751C1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723138">
        <w:rPr>
          <w:bCs/>
          <w:iCs/>
          <w:sz w:val="24"/>
          <w:szCs w:val="24"/>
        </w:rPr>
        <w:t>Качеството на изпълнените С</w:t>
      </w:r>
      <w:r w:rsidR="003E37EE" w:rsidRPr="00723138">
        <w:rPr>
          <w:bCs/>
          <w:iCs/>
          <w:sz w:val="24"/>
          <w:szCs w:val="24"/>
        </w:rPr>
        <w:t>М</w:t>
      </w:r>
      <w:r w:rsidRPr="00723138">
        <w:rPr>
          <w:bCs/>
          <w:iCs/>
          <w:sz w:val="24"/>
          <w:szCs w:val="24"/>
        </w:rPr>
        <w:t>Р и измерването им се извършва съгласно изискванията на Правила за изпълнение и приемане на С</w:t>
      </w:r>
      <w:r w:rsidR="003E37EE" w:rsidRPr="00723138">
        <w:rPr>
          <w:bCs/>
          <w:iCs/>
          <w:sz w:val="24"/>
          <w:szCs w:val="24"/>
        </w:rPr>
        <w:t>М</w:t>
      </w:r>
      <w:r w:rsidRPr="00723138">
        <w:rPr>
          <w:bCs/>
          <w:iCs/>
          <w:sz w:val="24"/>
          <w:szCs w:val="24"/>
        </w:rPr>
        <w:t>Р (ПИПСМР), изискванията на работния проект;</w:t>
      </w:r>
    </w:p>
    <w:p w14:paraId="67D997C9" w14:textId="77777777" w:rsidR="0042172A" w:rsidRPr="00723138" w:rsidRDefault="0042172A" w:rsidP="00751C1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723138">
        <w:rPr>
          <w:bCs/>
          <w:iCs/>
          <w:sz w:val="24"/>
          <w:szCs w:val="24"/>
        </w:rPr>
        <w:t xml:space="preserve">Некачествено извършените работи извън нормативите на ПИПСМР и изискванията в работния проект не се заплащат от </w:t>
      </w:r>
      <w:r w:rsidRPr="00723138">
        <w:rPr>
          <w:b/>
          <w:bCs/>
          <w:iCs/>
          <w:sz w:val="24"/>
          <w:szCs w:val="24"/>
        </w:rPr>
        <w:t>ВЪЗЛОЖИТЕЛЯ</w:t>
      </w:r>
      <w:r w:rsidRPr="00723138">
        <w:rPr>
          <w:bCs/>
          <w:iCs/>
          <w:sz w:val="24"/>
          <w:szCs w:val="24"/>
        </w:rPr>
        <w:t xml:space="preserve">, поправят се или се разрушават за сметка на </w:t>
      </w:r>
      <w:r w:rsidRPr="00723138">
        <w:rPr>
          <w:b/>
          <w:bCs/>
          <w:iCs/>
          <w:sz w:val="24"/>
          <w:szCs w:val="24"/>
        </w:rPr>
        <w:t>ИЗПЪЛНИТЕЛЯ</w:t>
      </w:r>
      <w:r w:rsidRPr="00723138">
        <w:rPr>
          <w:bCs/>
          <w:iCs/>
          <w:sz w:val="24"/>
          <w:szCs w:val="24"/>
        </w:rPr>
        <w:t>, след съставяне на двустранен протокол за некачествено извършени работи.</w:t>
      </w:r>
    </w:p>
    <w:p w14:paraId="21A0F98D" w14:textId="0C17D8C1" w:rsidR="00751C1F" w:rsidRPr="00723138" w:rsidRDefault="0042172A" w:rsidP="005641F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723138">
        <w:rPr>
          <w:bCs/>
          <w:iCs/>
          <w:sz w:val="24"/>
          <w:szCs w:val="24"/>
        </w:rPr>
        <w:t>Всички обстоятелства, свързани с обекта, като предаване и приемане на строителната площадка, С</w:t>
      </w:r>
      <w:r w:rsidR="003E37EE" w:rsidRPr="00723138">
        <w:rPr>
          <w:bCs/>
          <w:iCs/>
          <w:sz w:val="24"/>
          <w:szCs w:val="24"/>
        </w:rPr>
        <w:t>М</w:t>
      </w:r>
      <w:r w:rsidRPr="00723138">
        <w:rPr>
          <w:bCs/>
          <w:iCs/>
          <w:sz w:val="24"/>
          <w:szCs w:val="24"/>
        </w:rPr>
        <w:t>Р подлежащи на закриване, междинни и заключителни актове за приемане и предаване на С</w:t>
      </w:r>
      <w:r w:rsidR="003E37EE" w:rsidRPr="00723138">
        <w:rPr>
          <w:bCs/>
          <w:iCs/>
          <w:sz w:val="24"/>
          <w:szCs w:val="24"/>
        </w:rPr>
        <w:t>М</w:t>
      </w:r>
      <w:r w:rsidRPr="00723138">
        <w:rPr>
          <w:bCs/>
          <w:iCs/>
          <w:sz w:val="24"/>
          <w:szCs w:val="24"/>
        </w:rPr>
        <w:t>Р и други, се документират от представителите на страните по сключените договори.</w:t>
      </w:r>
    </w:p>
    <w:p w14:paraId="37924F8B" w14:textId="77777777" w:rsidR="00BD74AE" w:rsidRPr="00723138" w:rsidRDefault="00BD74AE" w:rsidP="005641FF">
      <w:pPr>
        <w:keepNext/>
        <w:numPr>
          <w:ilvl w:val="1"/>
          <w:numId w:val="1"/>
        </w:numPr>
        <w:tabs>
          <w:tab w:val="num" w:pos="1440"/>
        </w:tabs>
        <w:spacing w:before="240"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Здрав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 и безопасност при работа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пожаро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без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опасност</w:t>
      </w:r>
      <w:proofErr w:type="spellEnd"/>
    </w:p>
    <w:p w14:paraId="03025F9E" w14:textId="67605549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изпълнението на </w:t>
      </w:r>
      <w:r w:rsidR="00610602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3E37EE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стриктно да се спазват проекта по част: ПБЗ и действащи нормативни документи по осигуряване на здраве и безопасност при работа.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ПБ. </w:t>
      </w:r>
    </w:p>
    <w:p w14:paraId="0D1AD4E4" w14:textId="77777777" w:rsidR="00BD74AE" w:rsidRPr="00723138" w:rsidRDefault="00BD74AE" w:rsidP="00BD74AE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Стриктно да се спазват всички действащи нормативни документи по осигуряване на здраве и безопасност при работа и да се изпълняват предписанията в ПБЗ и на координаторите и инспекторите по З</w:t>
      </w:r>
      <w:r w:rsidR="0082487A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 на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bookmarkStart w:id="7" w:name="_Toc267032191"/>
    </w:p>
    <w:p w14:paraId="5965F3EA" w14:textId="77777777" w:rsidR="005641FF" w:rsidRPr="00723138" w:rsidRDefault="00BD74AE" w:rsidP="00564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Медет”АД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територии, относно здраве и безопасност при работа, пожарна безопасност, опазване околната среда, пропускателен  режим, сигурност и кадрово осигуряване.</w:t>
      </w:r>
    </w:p>
    <w:p w14:paraId="374B349C" w14:textId="77777777" w:rsidR="00BD74AE" w:rsidRPr="00723138" w:rsidRDefault="00BD74AE" w:rsidP="005641FF">
      <w:pPr>
        <w:keepNext/>
        <w:numPr>
          <w:ilvl w:val="1"/>
          <w:numId w:val="1"/>
        </w:numPr>
        <w:tabs>
          <w:tab w:val="num" w:pos="1440"/>
        </w:tabs>
        <w:spacing w:before="240"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РПОИС</w:t>
      </w:r>
      <w:bookmarkEnd w:id="7"/>
    </w:p>
    <w:p w14:paraId="5B2E22B5" w14:textId="319CDD62" w:rsidR="00BD74AE" w:rsidRPr="00723138" w:rsidRDefault="00BD74AE" w:rsidP="005641FF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изготвяне на своите оферти кандидатите следва да включат в тях разходи за изготвяне на РПОИС за обекта по части, обуславящи цялостното изпълнение на обекта. РПОИС се одобрява от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служи за стриктно спазване на ПБЗ и технологиите за изпълнение на </w:t>
      </w:r>
      <w:r w:rsidR="00610602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3E37EE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13F65206" w14:textId="20AC2E69" w:rsidR="00BD74AE" w:rsidRPr="00723138" w:rsidRDefault="00BD74AE" w:rsidP="005641FF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Изпълнението на предвидените в Работния проект </w:t>
      </w:r>
      <w:r w:rsidR="00610602"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</w:t>
      </w:r>
      <w:r w:rsidR="003E37EE"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ще стартира задължително и само след одобряването на РПОИС от страна на ВЪЗЛОЖИТЕЛЯ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6BB5629B" w14:textId="77777777" w:rsidR="005641FF" w:rsidRPr="00723138" w:rsidRDefault="00BD74AE" w:rsidP="005641FF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Изготвянето на РПОИС, с подробен план-график за изпълнение, да бъде съобразен с изготвения ПБЗ за обекта. </w:t>
      </w:r>
    </w:p>
    <w:p w14:paraId="2894B784" w14:textId="77777777" w:rsidR="00BD74AE" w:rsidRPr="00723138" w:rsidRDefault="00BD74AE" w:rsidP="005641FF">
      <w:pPr>
        <w:keepNext/>
        <w:numPr>
          <w:ilvl w:val="1"/>
          <w:numId w:val="1"/>
        </w:numPr>
        <w:tabs>
          <w:tab w:val="num" w:pos="1440"/>
        </w:tabs>
        <w:spacing w:before="240"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Охрана</w:t>
      </w:r>
      <w:proofErr w:type="spellEnd"/>
    </w:p>
    <w:p w14:paraId="6C51094F" w14:textId="3196016A" w:rsidR="00BD74AE" w:rsidRPr="00723138" w:rsidRDefault="00BD74AE" w:rsidP="00BD74AE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Бъдещият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организира охрана на обекта и временното селище за периода на изпълнение на </w:t>
      </w:r>
      <w:r w:rsidR="00610602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3E37EE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BDF0B0A" w14:textId="77777777" w:rsidR="00BD74AE" w:rsidRPr="00723138" w:rsidRDefault="00BD74AE" w:rsidP="005641FF">
      <w:pPr>
        <w:keepNext/>
        <w:numPr>
          <w:ilvl w:val="1"/>
          <w:numId w:val="1"/>
        </w:numPr>
        <w:tabs>
          <w:tab w:val="num" w:pos="1440"/>
        </w:tabs>
        <w:spacing w:before="240"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Управление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строителните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отпадъци</w:t>
      </w:r>
      <w:proofErr w:type="spellEnd"/>
    </w:p>
    <w:p w14:paraId="36B77BD7" w14:textId="77777777" w:rsidR="00BD74AE" w:rsidRPr="00723138" w:rsidRDefault="00BD74AE" w:rsidP="00BD74AE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Строителните отпадъци да се извозват на регламентираните сметища.</w:t>
      </w:r>
    </w:p>
    <w:p w14:paraId="3816AEAA" w14:textId="77777777" w:rsidR="00BD74AE" w:rsidRPr="00723138" w:rsidRDefault="00BD74AE" w:rsidP="00BD74AE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сключване на договор с бъдещия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59377524" w14:textId="77777777" w:rsidR="00BD74AE" w:rsidRPr="00723138" w:rsidRDefault="00BD74AE" w:rsidP="005641FF">
      <w:pPr>
        <w:keepNext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Технически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спесификации</w:t>
      </w:r>
      <w:proofErr w:type="spellEnd"/>
    </w:p>
    <w:p w14:paraId="3F95C78F" w14:textId="77777777" w:rsidR="00BD74AE" w:rsidRPr="00723138" w:rsidRDefault="00BD74AE" w:rsidP="005641FF">
      <w:pPr>
        <w:widowControl w:val="0"/>
        <w:numPr>
          <w:ilvl w:val="1"/>
          <w:numId w:val="1"/>
        </w:numPr>
        <w:tabs>
          <w:tab w:val="clear" w:pos="720"/>
          <w:tab w:val="num" w:pos="0"/>
        </w:tabs>
        <w:spacing w:before="240"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Месторазположение и функционални характеристики за обекта:</w:t>
      </w:r>
    </w:p>
    <w:p w14:paraId="70159ED9" w14:textId="77777777" w:rsidR="00BD74AE" w:rsidRPr="00723138" w:rsidRDefault="00BD74AE" w:rsidP="005641FF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Във връзка с предмета на услугата, към настоящата документация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ВЪЗЛОЖИТЕЛЯТ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предлага следните приложения, с които определя работните характеристики на очаквания обем и обхват на дейностите за реализиране на Обекта.</w:t>
      </w:r>
    </w:p>
    <w:p w14:paraId="087BEC3D" w14:textId="77777777" w:rsidR="00BD74AE" w:rsidRPr="00723138" w:rsidRDefault="00BD74AE" w:rsidP="005641FF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4.2.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Инвестиционните проекти за Обекта представляват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№17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към настоящата документация, се предоставят на кандидатите на магнитен носител /1 брой диск/, а п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роектните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части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хартиен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носител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намират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отдел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"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Строителство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",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Управление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№2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"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Асарел-Медет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" АД.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Същите са на разположение на всички кандидати, които ако желаят да се запознаят с тях, следва да направят предварителна заявка по телефоните, дадени за контакти, в срок до крайната дата, определена за представяне на офертите.</w:t>
      </w:r>
    </w:p>
    <w:p w14:paraId="152287F3" w14:textId="77777777" w:rsidR="00BD74AE" w:rsidRPr="00723138" w:rsidRDefault="00BD74AE" w:rsidP="005641FF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4.3.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№1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– „ТЕХНИЧЕСКА СПЕСИФИКАЦИЯ за обекта”- количествена сметка /извадка от работен проект –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№17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/, която следва да бъде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остойностена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от кандидатите на база техния професионален фирмен опит, и следвайки конюнктурата на пазара в строителния бранш в момента. При това трябва да бъдат спазвани законовата нормативна уредба, технически изисквания и условия в строителството и нормативните изисквания за опазване на околната среда. В единичните цени да бъдат отчетени инфлационни и други процеси, влияещи пряко 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lastRenderedPageBreak/>
        <w:t>върху формирането им, да бъдат интегрирани всички операции, гарантиращи качество на изпълнение като така оферираните цени ще остават твърди за целия период на строителство.</w:t>
      </w:r>
    </w:p>
    <w:p w14:paraId="68C63A0F" w14:textId="77777777" w:rsidR="00BD74AE" w:rsidRPr="00723138" w:rsidRDefault="00BD74AE" w:rsidP="005641FF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4.4.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№2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– „Техническа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спесификация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основните строителни материали”, които ще бъдат влагани при строителството на обекта. Приложената таблица също трябва да бъде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остойностена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 приложена в офертата.</w:t>
      </w:r>
    </w:p>
    <w:p w14:paraId="17AE47EA" w14:textId="77777777" w:rsidR="00BD74AE" w:rsidRPr="00723138" w:rsidRDefault="00BD74AE" w:rsidP="005641FF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4.5.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Справка за ценообразуващи параметри –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№3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при които ще се изготвят анализните цени на всички допълнително възникнали и възложени видове работи и доставки извън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№2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14:paraId="14099628" w14:textId="77777777" w:rsidR="00BD74AE" w:rsidRPr="00723138" w:rsidRDefault="00BD74AE" w:rsidP="005641FF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>4.6.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 xml:space="preserve"> №5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–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Пакет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условия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свързани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със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срока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изпълнение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обекта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и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 xml:space="preserve"> №6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– „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Общ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срок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изпълнение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услугата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”.</w:t>
      </w:r>
    </w:p>
    <w:p w14:paraId="4ED22E35" w14:textId="443B94E2" w:rsidR="00BD74AE" w:rsidRPr="00723138" w:rsidRDefault="00BD74AE" w:rsidP="00BD74AE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попълването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тези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приложения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кандидатите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31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отчетат следната </w:t>
      </w:r>
      <w:r w:rsidRPr="0072313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етапност</w:t>
      </w:r>
      <w:r w:rsidRPr="007231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сроковете за реализация на </w:t>
      </w:r>
      <w:r w:rsidR="00610602" w:rsidRPr="00723138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="003E37EE" w:rsidRPr="00723138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="00610602" w:rsidRPr="00723138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723138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55"/>
        <w:gridCol w:w="1558"/>
        <w:gridCol w:w="3546"/>
      </w:tblGrid>
      <w:tr w:rsidR="00BD74AE" w:rsidRPr="00723138" w14:paraId="7942E2EF" w14:textId="77777777" w:rsidTr="003E37EE">
        <w:trPr>
          <w:jc w:val="center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70439180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D9D9D9" w:themeFill="background1" w:themeFillShade="D9"/>
            <w:vAlign w:val="center"/>
          </w:tcPr>
          <w:p w14:paraId="6B31CB11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04836D8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1D6CFD6C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Важни дати</w:t>
            </w:r>
          </w:p>
        </w:tc>
      </w:tr>
      <w:tr w:rsidR="00BD74AE" w:rsidRPr="00723138" w14:paraId="055AF93D" w14:textId="77777777" w:rsidTr="003D1169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08EEB3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FBA16E0" w14:textId="77777777" w:rsidR="00BD74AE" w:rsidRPr="00723138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0C8503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6857A4D2" w14:textId="77777777" w:rsidR="00BD74AE" w:rsidRPr="00723138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Датата на подписан акт обр.2 се счита за  «</w:t>
            </w:r>
            <w:r w:rsidRPr="00723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Начало» </w:t>
            </w: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срок за изпълнение</w:t>
            </w:r>
          </w:p>
        </w:tc>
      </w:tr>
      <w:tr w:rsidR="00BD74AE" w:rsidRPr="00723138" w14:paraId="7CCDE2D8" w14:textId="77777777" w:rsidTr="003D1169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1850AF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5DC13E7" w14:textId="77777777" w:rsidR="00BD74AE" w:rsidRPr="00723138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F465F2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18F7FDBC" w14:textId="77777777" w:rsidR="00BD74AE" w:rsidRPr="00723138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74AE" w:rsidRPr="00723138" w14:paraId="37379C5F" w14:textId="77777777" w:rsidTr="003D1169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184789A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213506F" w14:textId="049AD2C9" w:rsidR="00BD74AE" w:rsidRPr="00723138" w:rsidRDefault="00BD74AE" w:rsidP="003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на</w:t>
            </w:r>
            <w:r w:rsidR="00324F8B" w:rsidRPr="0072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602"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610602"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019DC6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3B0E8601" w14:textId="77777777" w:rsidR="00BD74AE" w:rsidRPr="00723138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74AE" w:rsidRPr="00723138" w14:paraId="1A62A14E" w14:textId="77777777" w:rsidTr="003D1169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B76B157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37E45B9" w14:textId="77777777" w:rsidR="00BD74AE" w:rsidRPr="00723138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45B26E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32DB1934" w14:textId="77777777" w:rsidR="00BD74AE" w:rsidRPr="00723138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74AE" w:rsidRPr="00723138" w14:paraId="510807A0" w14:textId="77777777" w:rsidTr="003D1169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4D2F6C4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C519758" w14:textId="77777777" w:rsidR="00BD74AE" w:rsidRPr="00723138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27D227" w14:textId="77777777" w:rsidR="00BD74AE" w:rsidRPr="00723138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0FB5EB14" w14:textId="77777777" w:rsidR="00BD74AE" w:rsidRPr="00723138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на подписване на констативен акт се счита «</w:t>
            </w:r>
            <w:r w:rsidRPr="00723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Край</w:t>
            </w:r>
            <w:r w:rsidRPr="00723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на срок за изпълнение</w:t>
            </w:r>
          </w:p>
        </w:tc>
      </w:tr>
    </w:tbl>
    <w:p w14:paraId="3C196928" w14:textId="77777777" w:rsidR="00BD74AE" w:rsidRPr="00723138" w:rsidRDefault="00BD74AE" w:rsidP="00BD74AE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разработката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тези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приложения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кандидатите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посочат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5E3E9D1" w14:textId="26649815" w:rsidR="00BD74AE" w:rsidRPr="00723138" w:rsidRDefault="00BD74AE" w:rsidP="00AF0CF5">
      <w:pPr>
        <w:numPr>
          <w:ilvl w:val="0"/>
          <w:numId w:val="3"/>
        </w:numPr>
        <w:spacing w:after="0" w:line="240" w:lineRule="auto"/>
        <w:ind w:left="0" w:right="2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Срока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изпълнението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същинските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602" w:rsidRPr="00723138">
        <w:rPr>
          <w:rFonts w:ascii="Times New Roman" w:eastAsia="Calibri" w:hAnsi="Times New Roman" w:cs="Times New Roman"/>
          <w:sz w:val="24"/>
          <w:szCs w:val="24"/>
        </w:rPr>
        <w:t>С</w:t>
      </w:r>
      <w:r w:rsidR="003E37EE" w:rsidRPr="00723138">
        <w:rPr>
          <w:rFonts w:ascii="Times New Roman" w:eastAsia="Calibri" w:hAnsi="Times New Roman" w:cs="Times New Roman"/>
          <w:sz w:val="24"/>
          <w:szCs w:val="24"/>
          <w:lang w:val="bg-BG"/>
        </w:rPr>
        <w:t>М</w:t>
      </w:r>
      <w:r w:rsidR="00610602" w:rsidRPr="00723138">
        <w:rPr>
          <w:rFonts w:ascii="Times New Roman" w:eastAsia="Calibri" w:hAnsi="Times New Roman" w:cs="Times New Roman"/>
          <w:sz w:val="24"/>
          <w:szCs w:val="24"/>
        </w:rPr>
        <w:t>Р</w:t>
      </w:r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следните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организиране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работния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режим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8DB8F1" w14:textId="77777777" w:rsidR="00BD74AE" w:rsidRPr="00723138" w:rsidRDefault="00BD74AE" w:rsidP="00BD74AE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√ </w:t>
      </w:r>
      <w:proofErr w:type="spellStart"/>
      <w:r w:rsidR="00AF0CF5" w:rsidRPr="00723138">
        <w:rPr>
          <w:rFonts w:ascii="Times New Roman" w:eastAsia="Calibri" w:hAnsi="Times New Roman" w:cs="Times New Roman"/>
          <w:sz w:val="24"/>
          <w:szCs w:val="24"/>
        </w:rPr>
        <w:t>двусменен</w:t>
      </w:r>
      <w:proofErr w:type="spellEnd"/>
      <w:r w:rsidR="00AF0CF5" w:rsidRPr="00723138">
        <w:rPr>
          <w:rFonts w:ascii="Times New Roman" w:eastAsia="Calibri" w:hAnsi="Times New Roman" w:cs="Times New Roman"/>
          <w:sz w:val="24"/>
          <w:szCs w:val="24"/>
        </w:rPr>
        <w:t xml:space="preserve"> 16-часов </w:t>
      </w:r>
      <w:proofErr w:type="spellStart"/>
      <w:r w:rsidR="00AF0CF5" w:rsidRPr="00723138">
        <w:rPr>
          <w:rFonts w:ascii="Times New Roman" w:eastAsia="Calibri" w:hAnsi="Times New Roman" w:cs="Times New Roman"/>
          <w:sz w:val="24"/>
          <w:szCs w:val="24"/>
        </w:rPr>
        <w:t>работен</w:t>
      </w:r>
      <w:proofErr w:type="spellEnd"/>
      <w:r w:rsidR="00AF0CF5"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CF5" w:rsidRPr="00723138">
        <w:rPr>
          <w:rFonts w:ascii="Times New Roman" w:eastAsia="Calibri" w:hAnsi="Times New Roman" w:cs="Times New Roman"/>
          <w:sz w:val="24"/>
          <w:szCs w:val="24"/>
        </w:rPr>
        <w:t>ден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FCAA00" w14:textId="77777777" w:rsidR="00BD74AE" w:rsidRPr="00723138" w:rsidRDefault="00BD74AE" w:rsidP="00BD74AE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√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непрекъснат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работен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режим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прекъсване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почивни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дни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6E12A188" w14:textId="76B5B014" w:rsidR="00BD74AE" w:rsidRPr="00723138" w:rsidRDefault="00BD74AE" w:rsidP="00BD74AE">
      <w:pPr>
        <w:spacing w:after="0" w:line="240" w:lineRule="auto"/>
        <w:ind w:right="2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8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723138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</w:t>
      </w:r>
      <w:r w:rsidRPr="00723138">
        <w:rPr>
          <w:rFonts w:ascii="Times New Roman" w:eastAsia="Calibri" w:hAnsi="Times New Roman" w:cs="Times New Roman"/>
          <w:sz w:val="24"/>
          <w:szCs w:val="24"/>
        </w:rPr>
        <w:t>ПЕРСОНАЛЪТ</w:t>
      </w:r>
      <w:r w:rsidR="00347301" w:rsidRPr="0072313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брой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технически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работнически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състав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ангажиран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изпълнението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602" w:rsidRPr="00723138">
        <w:rPr>
          <w:rFonts w:ascii="Times New Roman" w:eastAsia="Calibri" w:hAnsi="Times New Roman" w:cs="Times New Roman"/>
          <w:sz w:val="24"/>
          <w:szCs w:val="24"/>
        </w:rPr>
        <w:t>С</w:t>
      </w:r>
      <w:r w:rsidR="003E37EE" w:rsidRPr="00723138">
        <w:rPr>
          <w:rFonts w:ascii="Times New Roman" w:eastAsia="Calibri" w:hAnsi="Times New Roman" w:cs="Times New Roman"/>
          <w:sz w:val="24"/>
          <w:szCs w:val="24"/>
          <w:lang w:val="bg-BG"/>
        </w:rPr>
        <w:t>М</w:t>
      </w:r>
      <w:r w:rsidR="00610602" w:rsidRPr="00723138">
        <w:rPr>
          <w:rFonts w:ascii="Times New Roman" w:eastAsia="Calibri" w:hAnsi="Times New Roman" w:cs="Times New Roman"/>
          <w:sz w:val="24"/>
          <w:szCs w:val="24"/>
        </w:rPr>
        <w:t>Р</w:t>
      </w:r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обекта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горепосочените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работни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CBCF06" w14:textId="7C2B20FC" w:rsidR="00BD74AE" w:rsidRPr="00723138" w:rsidRDefault="00BD74AE" w:rsidP="00BD74AE">
      <w:pPr>
        <w:spacing w:after="0" w:line="240" w:lineRule="auto"/>
        <w:ind w:right="2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23138">
        <w:rPr>
          <w:rFonts w:ascii="Times New Roman" w:eastAsia="Calibri" w:hAnsi="Times New Roman" w:cs="Times New Roman"/>
          <w:caps/>
          <w:sz w:val="24"/>
          <w:szCs w:val="24"/>
        </w:rPr>
        <w:t>Краен срок</w:t>
      </w:r>
      <w:r w:rsidR="00AF0CF5"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CF5" w:rsidRPr="0072313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AF0CF5"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CF5" w:rsidRPr="00723138">
        <w:rPr>
          <w:rFonts w:ascii="Times New Roman" w:eastAsia="Calibri" w:hAnsi="Times New Roman" w:cs="Times New Roman"/>
          <w:sz w:val="24"/>
          <w:szCs w:val="24"/>
        </w:rPr>
        <w:t>предаване</w:t>
      </w:r>
      <w:proofErr w:type="spellEnd"/>
      <w:r w:rsidR="00AF0CF5"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CF5" w:rsidRPr="0072313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AF0CF5"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CF5" w:rsidRPr="00723138">
        <w:rPr>
          <w:rFonts w:ascii="Times New Roman" w:eastAsia="Calibri" w:hAnsi="Times New Roman" w:cs="Times New Roman"/>
          <w:sz w:val="24"/>
          <w:szCs w:val="24"/>
        </w:rPr>
        <w:t>обекта</w:t>
      </w:r>
      <w:proofErr w:type="spellEnd"/>
      <w:r w:rsidR="00AF0CF5" w:rsidRPr="007231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като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условна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4D1F352" w14:textId="760C6F99" w:rsidR="00BD74AE" w:rsidRPr="00723138" w:rsidRDefault="00BD74AE" w:rsidP="00BD74AE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ИЗПЪЛНИТЕЛЯТ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даде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610602"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</w:t>
      </w:r>
      <w:r w:rsidR="003E37EE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Р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обекта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календарни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пълния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обем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наличната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КСС /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</w:p>
    <w:p w14:paraId="757057F8" w14:textId="77777777" w:rsidR="00BD74AE" w:rsidRPr="00723138" w:rsidRDefault="00BD74AE" w:rsidP="005641FF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Всички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срокове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138">
        <w:rPr>
          <w:rFonts w:ascii="Times New Roman" w:eastAsia="Calibri" w:hAnsi="Times New Roman" w:cs="Times New Roman"/>
          <w:sz w:val="24"/>
          <w:szCs w:val="24"/>
        </w:rPr>
        <w:t>посочени</w:t>
      </w:r>
      <w:proofErr w:type="spellEnd"/>
      <w:r w:rsidRPr="0072313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723138">
        <w:rPr>
          <w:rFonts w:ascii="Times New Roman" w:eastAsia="Calibri" w:hAnsi="Times New Roman" w:cs="Times New Roman"/>
          <w:b/>
          <w:sz w:val="24"/>
          <w:szCs w:val="24"/>
        </w:rPr>
        <w:t>КАЛЕНДАРНИ ДНИ</w:t>
      </w:r>
      <w:r w:rsidRPr="007231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EBB45C" w14:textId="7A391AE8" w:rsidR="00BD74AE" w:rsidRPr="00723138" w:rsidRDefault="00BD74AE" w:rsidP="005641FF">
      <w:pPr>
        <w:widowControl w:val="0"/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4.7.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Декларация за предложен гаранционен срок –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№7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– Гаранционните срокове за </w:t>
      </w:r>
      <w:r w:rsidR="00610602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3E37EE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трябва да бъдат съгласно Наредба №2/31.07.2003г. за въвеждане в експлоатация на строежите в Р. България и минимални гаранционни срокове за изпълнени строителни и монтажни работи, съоръжения и строителни обекти, издадена от Министъра на регионалното развитие и благоустройството, обн. ДВ, бр.72/15.08.2003 г., изм. и доп. бр. 49 от 14.06.2005 г.</w:t>
      </w:r>
    </w:p>
    <w:p w14:paraId="7A732395" w14:textId="77777777" w:rsidR="00BD74AE" w:rsidRPr="00723138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4.8.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Кандидатите при разработване и подаване на офертите трябва задължително да декларират чрез подписване и подпечатване на декларация –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№9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че задълбочено са проучили техническите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спесификации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че ще спазват при реализиране на проектите посочените в тях стандарти, и че ще представят изискващите се доказателства, че техническото им решение, предложената от тях стока или услуга отговарят на:</w:t>
      </w:r>
    </w:p>
    <w:p w14:paraId="2E28F634" w14:textId="77777777" w:rsidR="00BD74AE" w:rsidRPr="00723138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lastRenderedPageBreak/>
        <w:t xml:space="preserve">1. български стандарти или „еквивалентни” европейски, международни стандарти, или „еквивалентни” европейски технически одобрения или общи технически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спесификации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или други еквивалентни технически еталони на европейски стандартизационни органи при реализирането на проекта;</w:t>
      </w:r>
    </w:p>
    <w:p w14:paraId="7479F218" w14:textId="77777777" w:rsidR="00BD74AE" w:rsidRPr="00723138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2. български стандарти, еквивалентни технически одобрения или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спесификации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отнасящи се до изпълнение на строителството и до използваните материали, когато няма стандарти по предишната т.1;</w:t>
      </w:r>
    </w:p>
    <w:p w14:paraId="05496E52" w14:textId="77777777" w:rsidR="00BD74AE" w:rsidRPr="00723138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Като доказателства за съответствие на техническите им предложения по техническите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спесификации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кандидатите ще представят техническо досие на производителя или протокол от изпитване, или сертификат, издаден от признат орган.</w:t>
      </w:r>
    </w:p>
    <w:p w14:paraId="6D19ECF8" w14:textId="1493C7A9" w:rsidR="00BD74AE" w:rsidRPr="00723138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4.9.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Проекто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- договор за </w:t>
      </w:r>
      <w:r w:rsidR="00610602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3E37EE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–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№10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 Това приложение няма да се попълва от кандидатите. Те само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парафират и подпечатват всяка страница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от предложената форма, с което удостоверяват, че са запознати и съгласни с всички клаузи по проектодоговора.</w:t>
      </w:r>
    </w:p>
    <w:p w14:paraId="16A4D43E" w14:textId="77777777" w:rsidR="00BD74AE" w:rsidRPr="00723138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 случай че участникът има бележки или допълнения към проектодоговора, той ги представя отделно като свое приложение към офертата си, в плика с надпис „ТЕХНИЧЕСКО ПРЕДЛОЖЕНИЕ”</w:t>
      </w:r>
      <w:r w:rsidR="009209F8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 Бележки към </w:t>
      </w:r>
      <w:proofErr w:type="spellStart"/>
      <w:r w:rsidR="009209F8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проекто</w:t>
      </w:r>
      <w:proofErr w:type="spellEnd"/>
      <w:r w:rsidR="009209F8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-договора </w:t>
      </w:r>
      <w:r w:rsidR="009209F8"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НЯМА</w:t>
      </w:r>
      <w:r w:rsidR="009209F8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да се приемат в последващи етапи от проучването.</w:t>
      </w:r>
    </w:p>
    <w:p w14:paraId="4C6F0299" w14:textId="77777777" w:rsidR="00BD74AE" w:rsidRPr="00723138" w:rsidRDefault="00BD74AE" w:rsidP="005641FF">
      <w:pPr>
        <w:widowControl w:val="0"/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4.10.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Декларация за срок на валидност на предложението –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№11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 -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 това приложение участниците декларират срока на валидност на офертното предложение, който не трябва да бъде по-малък от 120 календарни дни.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ВЪЗЛОЖИТЕЛЯТ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има право да поиска удължаване на валидността от класираните участници до датата на сключване на договор за изпълнение.</w:t>
      </w:r>
    </w:p>
    <w:p w14:paraId="59C38AA3" w14:textId="77777777" w:rsidR="00BD74AE" w:rsidRPr="00723138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4.11.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Декларация за подизпълнители –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№13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 В това приложение кандидатът посочва дали възнамерява да ползва или да не ползва подизпълнители, като в случай че ползва за тях се посочва:</w:t>
      </w:r>
    </w:p>
    <w:p w14:paraId="3DAA6E00" w14:textId="77777777" w:rsidR="00BD74AE" w:rsidRPr="00723138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  Име и място на регистрация по ТЗ на фирмата.</w:t>
      </w:r>
    </w:p>
    <w:p w14:paraId="4E4AC739" w14:textId="77777777" w:rsidR="00BD74AE" w:rsidRPr="00723138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2.  По коя част от Подобекта ще работи подизпълнителя. </w:t>
      </w:r>
    </w:p>
    <w:p w14:paraId="25C9ABA7" w14:textId="77777777" w:rsidR="00BD74AE" w:rsidRPr="00723138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3.  Да се приложат необходимите декларации за подизпълнителя.</w:t>
      </w:r>
    </w:p>
    <w:p w14:paraId="44CAE642" w14:textId="77777777" w:rsidR="00BD74AE" w:rsidRPr="00723138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4. Да се приложи декларация в свободен текст от подизпълнителя, че е запознат и дава своето писмено принципно съгласие да изпълни конкретната част. Ако подизпълнителя не е запознат с </w:t>
      </w:r>
      <w:proofErr w:type="spellStart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конкректната</w:t>
      </w:r>
      <w:proofErr w:type="spellEnd"/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част за която ще бъде ползван, го отразява в своята декларация.</w:t>
      </w:r>
    </w:p>
    <w:p w14:paraId="36F03B7B" w14:textId="77777777" w:rsidR="00BD74AE" w:rsidRPr="00723138" w:rsidRDefault="00BD74AE" w:rsidP="00BD74A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Документи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които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представят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кандидатите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техни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подизпълнители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:</w:t>
      </w:r>
    </w:p>
    <w:p w14:paraId="3926BECB" w14:textId="4301A6AF" w:rsidR="00BD74AE" w:rsidRPr="00723138" w:rsidRDefault="00BD74AE" w:rsidP="00564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-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посочените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по-горе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две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първата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 1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втората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свободен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текст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E7234CF" w14:textId="72D492DC" w:rsidR="00BD74AE" w:rsidRPr="00723138" w:rsidRDefault="00BD74AE" w:rsidP="005641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-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Към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V.2.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ЧАСТ ПЪРВА «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»:</w:t>
      </w:r>
    </w:p>
    <w:p w14:paraId="1E60B27B" w14:textId="77777777" w:rsidR="00BD74AE" w:rsidRPr="00723138" w:rsidRDefault="00BD74AE" w:rsidP="00564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ru-RU"/>
        </w:rPr>
        <w:t>- Декларации по част</w:t>
      </w:r>
      <w:r w:rsidR="009209F8" w:rsidRPr="007231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ІІ.1.3 т.6., респ.т.8. /за чуждестранни лица/ по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Приложения образец № 12-2 и № 12-3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EABE4E2" w14:textId="77777777" w:rsidR="00BD74AE" w:rsidRPr="00723138" w:rsidRDefault="00BD74AE" w:rsidP="005641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-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Административни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сведения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адрес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телефон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факс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e-mail –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Приложение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образец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№12-1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378A7E4" w14:textId="77777777" w:rsidR="00BD74AE" w:rsidRPr="00723138" w:rsidRDefault="00BD74AE" w:rsidP="005641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-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актуално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състояние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66CD9DFB" w14:textId="77777777" w:rsidR="00BD74AE" w:rsidRPr="00723138" w:rsidRDefault="00BD74AE" w:rsidP="005641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-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собствена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автотранспорт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задължителна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</w:p>
    <w:p w14:paraId="7932A350" w14:textId="77777777" w:rsidR="00BD74AE" w:rsidRPr="00723138" w:rsidRDefault="00BD74AE" w:rsidP="005641FF">
      <w:pPr>
        <w:spacing w:after="0" w:line="240" w:lineRule="atLeast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e-BY"/>
        </w:rPr>
        <w:t>Копие от документ за регистрация в Централния професионален регистър на строителите /ЦПРС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</w:p>
    <w:p w14:paraId="26B01AF1" w14:textId="77777777" w:rsidR="00BD74AE" w:rsidRPr="00723138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Оферентите трябва да знаят, че в договора с бъдещия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ГЛАВЕН ИЗПЪЛНИТЕЛ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ще има клауза, че той отговаря за работата на ПОДИЗПЪЛНИТЕЛИТЕ като за своя.</w:t>
      </w:r>
    </w:p>
    <w:p w14:paraId="4D065229" w14:textId="3D08DA04" w:rsidR="00E464A6" w:rsidRPr="00723138" w:rsidRDefault="00BD74AE" w:rsidP="005641F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4.12.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Управление на строителните отпадъци - кандидатите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№16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че при изпълнение </w:t>
      </w:r>
      <w:r w:rsidR="00610602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обекта ще 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lastRenderedPageBreak/>
        <w:t xml:space="preserve">спазват действащата нормативна уредба и изискванията към строителната организация за управление на строителни отпадъци /СО/. Всички разходи свързани с управление на отпадъците да се предвидят от оферентите като интегрирани такива в отделните цени за видовете </w:t>
      </w:r>
      <w:r w:rsidR="00610602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по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 1.</w:t>
      </w:r>
    </w:p>
    <w:p w14:paraId="068ADB18" w14:textId="77777777" w:rsidR="00BD74AE" w:rsidRPr="00723138" w:rsidRDefault="00BD74AE" w:rsidP="005641F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ІІ. ИЗИСКВАНИЯ КЪМ КАНДИДАТИТЕ</w:t>
      </w:r>
    </w:p>
    <w:p w14:paraId="1803E649" w14:textId="77777777" w:rsidR="00BD74AE" w:rsidRPr="00723138" w:rsidRDefault="00BD74AE" w:rsidP="00564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r w:rsidR="00DC77E9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офертното проучване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поканения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следва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придържа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стриктно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към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обявените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68A64BB2" w14:textId="77777777" w:rsidR="00BD74AE" w:rsidRPr="00723138" w:rsidRDefault="00BD74AE" w:rsidP="005641FF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ІІ.1. Условия за участие </w:t>
      </w:r>
    </w:p>
    <w:p w14:paraId="4EB2C8F3" w14:textId="6E4F2A6F" w:rsidR="00BD74AE" w:rsidRPr="00723138" w:rsidRDefault="00BD74AE" w:rsidP="00AF0CF5">
      <w:pPr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В процедурата може да участва всеки кандидат вписан в Централния професионален регистър на строителя в </w:t>
      </w:r>
      <w:r w:rsidR="003E6B71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четвърта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група строежи </w:t>
      </w:r>
      <w:r w:rsidRPr="0072313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/>
        </w:rPr>
        <w:t xml:space="preserve">– </w:t>
      </w:r>
      <w:r w:rsidR="00DC77E9" w:rsidRPr="0072313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/>
        </w:rPr>
        <w:t>от Първа до пета</w:t>
      </w:r>
      <w:r w:rsidRPr="0072313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/>
        </w:rPr>
        <w:t xml:space="preserve"> категория</w:t>
      </w:r>
      <w:r w:rsidRPr="00723138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.</w:t>
      </w:r>
    </w:p>
    <w:p w14:paraId="3BD3F196" w14:textId="77777777" w:rsidR="00BD74AE" w:rsidRPr="00723138" w:rsidRDefault="00BD74AE" w:rsidP="00BD74AE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 за наличие на вписване в ЦПРС кандидатите представят копие от удостоверението за вписване в посочената група и обхват на вписване и копие от контролен талон към удостоверението със срок на валидност на регистрацията към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датата на представяне на офертата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14:paraId="4CE7E321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2. </w:t>
      </w:r>
      <w:r w:rsidRPr="00723138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Възложителят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 изискване за създаване на сдружение, когато участникът, определен за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е обединение на физически и/или юридически лица. Новосъздаденото сдружение е обвързано от офертата, подадена от обединението.</w:t>
      </w:r>
    </w:p>
    <w:p w14:paraId="77014872" w14:textId="77777777" w:rsidR="00BD74AE" w:rsidRPr="00723138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3.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В процедурата не може да участва кандидат, който е:</w:t>
      </w:r>
    </w:p>
    <w:p w14:paraId="074526FE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(1)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лишен от правото да упражнява търговска дейност;</w:t>
      </w:r>
    </w:p>
    <w:p w14:paraId="02F58F35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(2)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осъден с влязла в сила присъда, освен ако е реабилитиран, за:</w:t>
      </w:r>
    </w:p>
    <w:p w14:paraId="218388D2" w14:textId="77777777" w:rsidR="00BD74AE" w:rsidRPr="00723138" w:rsidRDefault="00BD74AE" w:rsidP="00324F8B">
      <w:pPr>
        <w:numPr>
          <w:ilvl w:val="0"/>
          <w:numId w:val="2"/>
        </w:numPr>
        <w:tabs>
          <w:tab w:val="clear" w:pos="288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престъпление против финансовата, данъчната или осигурителната система, включително изпиране на пари; за подкуп по чл. 301-307 от Наказателния кодекс; участие в организирана престъпна група;</w:t>
      </w:r>
    </w:p>
    <w:p w14:paraId="4E24AC58" w14:textId="77777777" w:rsidR="00BD74AE" w:rsidRPr="00723138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 xml:space="preserve">(3) 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осъден с влязла в сила присъда за престъпления против собствеността или стопанството;</w:t>
      </w:r>
    </w:p>
    <w:p w14:paraId="6FF48475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(4)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обявен в несъстоятелност или е в открито производство по обявяване в несъстоятелност;</w:t>
      </w:r>
    </w:p>
    <w:p w14:paraId="128A6A34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(5)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производство по ликвидация или се намира в подобна процедура съгласно националните закони и подзаконови актове.</w:t>
      </w:r>
    </w:p>
    <w:p w14:paraId="6318FD5E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(6)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лишен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14:paraId="50BCECFE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(7)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 парични задължения към държавата или към община по смисъла на чл.162, ал.2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кандидатът или участникът е установен.</w:t>
      </w:r>
    </w:p>
    <w:p w14:paraId="7ADCB10C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4.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Изискванията по т.ІІ.1.3. (2), (3), (6) и (7) се отнасят за управителите или за членовете на управителните органи на кандидатите или участниците, а в случай че членове са юридически лица – за техните представители в съответния управителен орган.</w:t>
      </w:r>
    </w:p>
    <w:p w14:paraId="7F812552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5.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Когато кандидатът или участникът предвижда участието на подизпълнители при изпълнение на поръчката, изискванията по т.3. и т.4. по-горе се прилагат и за подизпълнителите.</w:t>
      </w:r>
    </w:p>
    <w:p w14:paraId="1881C6AF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6.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подаване на заявлението за участие или офертата кандидатът или участникът удостоверява липсата на обстоятелствата по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т.ІІ.1.3.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декларация.</w:t>
      </w:r>
    </w:p>
    <w:p w14:paraId="45AFDFD8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7.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подписване на договора за строителство участникът, определен за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е длъжен да представи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документи от съответните компетентни органи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удостоверяване липсата на горните обстоятелствата.</w:t>
      </w:r>
    </w:p>
    <w:p w14:paraId="072B4B1F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може да участва в процедура за възлагане на настоящата поръчка чуждестранно юридическо лице, за което в държавата, в която е установено, е налице някое от обстоятелствата по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т.ІІ.1.3.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по-горе.</w:t>
      </w:r>
    </w:p>
    <w:p w14:paraId="22ED9C16" w14:textId="77777777" w:rsidR="00BD74AE" w:rsidRPr="00723138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3138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Възложителят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 право да изиска от всеки кандидат или участник да докаже регистрацията си в някой от професионалните или търговски регистри на държавата, в която е установен, или да представи декларация или удостоверение за наличието на такава регистрация от компетентните органи съгласно националния му закон.</w:t>
      </w:r>
    </w:p>
    <w:p w14:paraId="1089B7D6" w14:textId="77777777" w:rsidR="00BD74AE" w:rsidRPr="00723138" w:rsidRDefault="00BD74AE" w:rsidP="005641FF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ІІ.2. Специфични изисквания към кандидатите</w:t>
      </w:r>
    </w:p>
    <w:p w14:paraId="0E5E36EE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723138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Възложителя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подробно описани в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№8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723138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В </w:t>
      </w:r>
      <w:proofErr w:type="spellStart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това</w:t>
      </w:r>
      <w:proofErr w:type="spellEnd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приложение</w:t>
      </w:r>
      <w:proofErr w:type="spellEnd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не</w:t>
      </w:r>
      <w:proofErr w:type="spellEnd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нанасят</w:t>
      </w:r>
      <w:proofErr w:type="spellEnd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конкретни</w:t>
      </w:r>
      <w:proofErr w:type="spellEnd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цени</w:t>
      </w:r>
      <w:proofErr w:type="spellEnd"/>
      <w:r w:rsidRPr="007231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.</w:t>
      </w:r>
    </w:p>
    <w:p w14:paraId="4F6E060D" w14:textId="4D396D24" w:rsidR="00BD74AE" w:rsidRPr="00723138" w:rsidRDefault="00BD74AE" w:rsidP="00564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Всички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разходи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които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предвиждат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кандидатите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свързани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с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описаните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специфични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изисквания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временно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строителство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други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видове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работи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(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ако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има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такива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тяхна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преценка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),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декларират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в Приложение №8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като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този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начин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гарантира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че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могат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осигурят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тези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изисквания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като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разходите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това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трябва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предвидят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отделните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единични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цени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видовете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="00610602"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</w:t>
      </w:r>
      <w:r w:rsid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в Приложение №1.</w:t>
      </w:r>
    </w:p>
    <w:p w14:paraId="4AEB0666" w14:textId="77777777" w:rsidR="00BD74AE" w:rsidRPr="00723138" w:rsidRDefault="00BD74AE" w:rsidP="005641FF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ІІ.3.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Оглед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строителната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площадка</w:t>
      </w:r>
      <w:proofErr w:type="spellEnd"/>
    </w:p>
    <w:p w14:paraId="3561638D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Извършването на оглед на обекта е задължително условие за участие в офертното проучване. Оферентите да представят декларация за оглед на строителната площадка </w:t>
      </w:r>
      <w:r w:rsidRPr="007231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№14</w:t>
      </w:r>
      <w:r w:rsidRPr="007231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)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. По време огледа на обекта оферентите ще получат допълнителни пояснения и информация, които са важни за изготвяне на тяхното офертно предложение.</w:t>
      </w:r>
    </w:p>
    <w:p w14:paraId="7434F2A9" w14:textId="77777777" w:rsidR="00E464A6" w:rsidRPr="00723138" w:rsidRDefault="00BD74AE" w:rsidP="00564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Забележка: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оферентите ще бъде осигурен достъп до обекта. Огледи на площадката могат да се правят всеки работен ден от 8,30 до 15,00ч. до датата, определена за представяне на офертите, след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задължително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предварително съгласуване за деня на посещението на телефоните за контакти.</w:t>
      </w:r>
    </w:p>
    <w:p w14:paraId="71E35BC7" w14:textId="053C8B50" w:rsidR="00BD74AE" w:rsidRPr="00723138" w:rsidRDefault="00BD74AE" w:rsidP="005641FF">
      <w:pPr>
        <w:spacing w:before="240" w:after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ЧАСТ </w:t>
      </w:r>
      <w:r w:rsidR="003E37EE"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І</w:t>
      </w:r>
      <w:bookmarkStart w:id="8" w:name="_Hlk154059560"/>
      <w:r w:rsidR="003E37EE"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І</w:t>
      </w:r>
      <w:bookmarkEnd w:id="8"/>
      <w:r w:rsidR="003E37EE"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І</w:t>
      </w:r>
      <w:r w:rsidR="003E37EE"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 ГАРАНЦИИ И ГАРАНЦИОННИ СРОКОВЕ</w:t>
      </w:r>
    </w:p>
    <w:p w14:paraId="4B9C247C" w14:textId="7D132EB5" w:rsidR="00D52DC2" w:rsidRPr="00723138" w:rsidRDefault="003E37EE" w:rsidP="00E220A8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ІІІ</w:t>
      </w:r>
      <w:r w:rsidR="00BD74AE"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2244E2"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1</w:t>
      </w:r>
      <w:r w:rsidR="00BD74AE"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 Гаранция за „Добро изпълнение”</w:t>
      </w:r>
    </w:p>
    <w:p w14:paraId="40307E77" w14:textId="1B1678C1" w:rsidR="00D52DC2" w:rsidRPr="00723138" w:rsidRDefault="00E220A8" w:rsidP="00D52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52DC2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D52DC2"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="00D52DC2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удържа по 5% от всяко текущо плащане (актуване) на извършените работи по време на строителството като Гаранция за „Добро изпълнение”.</w:t>
      </w:r>
    </w:p>
    <w:p w14:paraId="1F7077C5" w14:textId="0DB8E3C2" w:rsidR="00BD74AE" w:rsidRPr="00723138" w:rsidRDefault="00E220A8" w:rsidP="00D52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BD74AE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Освобождаване на Гаранцията за </w:t>
      </w:r>
      <w:r w:rsidR="00D52DC2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„Д</w:t>
      </w:r>
      <w:r w:rsidR="00BD74AE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обро изпълнение”:</w:t>
      </w:r>
    </w:p>
    <w:p w14:paraId="38AF808E" w14:textId="51097B0B" w:rsidR="00BD74AE" w:rsidRPr="00723138" w:rsidRDefault="00E220A8" w:rsidP="00D127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BD74AE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.1. </w:t>
      </w:r>
      <w:r w:rsidR="00BD74AE"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="00BD74AE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освобождава задържаната сума като Гаранция за „добро изпълнение”, без да дължи лихви за периода, през който същата законно е престояла при него, при следните условия:</w:t>
      </w:r>
    </w:p>
    <w:p w14:paraId="3FE3A612" w14:textId="77777777" w:rsidR="00BD74AE" w:rsidRPr="00723138" w:rsidRDefault="00BD74AE" w:rsidP="00D127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- След завършването изпълнението на целия обект в 90-дневен срок от утвърждаване на окончателен предавателно-приемен протокол или получаване на разрешение за ползване за обекта.</w:t>
      </w:r>
    </w:p>
    <w:p w14:paraId="1B66DC41" w14:textId="7B71BA93" w:rsidR="00BD74AE" w:rsidRPr="00723138" w:rsidRDefault="00E220A8" w:rsidP="00D127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</w:t>
      </w:r>
      <w:r w:rsidR="00BD74AE" w:rsidRPr="0072313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.2. За появилите се преди изтичане на гаранцията дефекти </w:t>
      </w:r>
      <w:r w:rsidR="00BD74AE" w:rsidRPr="0072313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="00BD74AE" w:rsidRPr="0072313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уведомява писмено </w:t>
      </w:r>
      <w:r w:rsidR="00BD74AE" w:rsidRPr="0072313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="00BD74AE" w:rsidRPr="0072313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14:paraId="541C69AD" w14:textId="77777777" w:rsidR="00BD74AE" w:rsidRPr="00723138" w:rsidRDefault="00BD74AE" w:rsidP="00D127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В срок от 7 (седем) дни от уведомлението,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организира и започне отстраняването на появилите се дефекти, за своя сметка. Ако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ИЗПЪЛНИТЕЛЯТ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пропусне или откаже да стори това за периода на гаранционното обслужване претенциите на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удовлетворяват от удържаната гаранционна сума или от застраховката на кандидата.</w:t>
      </w:r>
    </w:p>
    <w:p w14:paraId="610EF74D" w14:textId="524563E6" w:rsidR="00BD74AE" w:rsidRPr="00723138" w:rsidRDefault="00E220A8" w:rsidP="00D127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BD74AE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.3. Освобождаването на „Гаранцията за Добро Изпълнение” няма да освободи </w:t>
      </w:r>
      <w:r w:rsidR="00BD74AE"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</w:t>
      </w:r>
      <w:r w:rsidR="00BD74AE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отговорността му по нормативно определените минимални гаранционни срокове съгласно „Наредба №2/31.07.2003г.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14:paraId="16321C91" w14:textId="77777777" w:rsidR="00BD74AE" w:rsidRPr="00723138" w:rsidRDefault="00BD74AE" w:rsidP="00EC580E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І</w:t>
      </w:r>
      <w:r w:rsidR="00B55BE5"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B55BE5"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 Гаранционни срокове</w:t>
      </w:r>
    </w:p>
    <w:p w14:paraId="1B7EA71E" w14:textId="029C6CA4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отстранява за своя сметка скритите недостатъци и появилите се впоследствие дефекти вследствие на некачествено изпълнени </w:t>
      </w:r>
      <w:r w:rsidR="00610602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гаранционен срок, съгласно чл. 20, ал.4.,т.1. от „Наредба №2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14:paraId="64DDE577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2. Гаранционният срок започва да тече след предаване на Обекта от датата на утвърждаване на окончателен приемо-предавателен протокол или получаване на разрешение за ползване на обекта.</w:t>
      </w:r>
    </w:p>
    <w:p w14:paraId="2FB8EF95" w14:textId="41312DF8" w:rsidR="00BD74AE" w:rsidRPr="00723138" w:rsidRDefault="00BD74AE" w:rsidP="00EC580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ЧАСТ </w:t>
      </w:r>
      <w:r w:rsidR="003721CB"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І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V. СЪДЪРЖАНИЕ НА ОФЕРТНОТО ПРЕДЛОЖЕНИЕ</w:t>
      </w:r>
    </w:p>
    <w:p w14:paraId="64CBE970" w14:textId="77777777" w:rsidR="00BD74AE" w:rsidRPr="00723138" w:rsidRDefault="00BD74AE" w:rsidP="00EC580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spacing w:before="40"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Общи условия</w:t>
      </w:r>
    </w:p>
    <w:p w14:paraId="7DC7645F" w14:textId="77777777" w:rsidR="00BD74AE" w:rsidRPr="00723138" w:rsidRDefault="00BD74AE" w:rsidP="00EC580E">
      <w:pPr>
        <w:widowControl w:val="0"/>
        <w:numPr>
          <w:ilvl w:val="1"/>
          <w:numId w:val="4"/>
        </w:numPr>
        <w:tabs>
          <w:tab w:val="clear" w:pos="1000"/>
          <w:tab w:val="num" w:pos="0"/>
        </w:tabs>
        <w:spacing w:after="0" w:line="240" w:lineRule="auto"/>
        <w:ind w:left="0"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Всеки кандидат следва да представи само едно свое офертно предложение.</w:t>
      </w:r>
    </w:p>
    <w:p w14:paraId="656285EC" w14:textId="77777777" w:rsidR="00BD74AE" w:rsidRPr="00723138" w:rsidRDefault="00BD74AE" w:rsidP="00EC580E">
      <w:pPr>
        <w:widowControl w:val="0"/>
        <w:numPr>
          <w:ilvl w:val="1"/>
          <w:numId w:val="4"/>
        </w:numPr>
        <w:tabs>
          <w:tab w:val="clear" w:pos="1000"/>
          <w:tab w:val="num" w:pos="0"/>
          <w:tab w:val="num" w:pos="284"/>
          <w:tab w:val="num" w:pos="732"/>
        </w:tabs>
        <w:spacing w:after="0" w:line="240" w:lineRule="auto"/>
        <w:ind w:left="0"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Предложението трябва да е написано четливо, да няма механични и други явни поправки по него.</w:t>
      </w:r>
    </w:p>
    <w:p w14:paraId="0FB8A0DA" w14:textId="77777777" w:rsidR="00BD74AE" w:rsidRPr="00723138" w:rsidRDefault="00BD74AE" w:rsidP="00EC580E">
      <w:pPr>
        <w:widowControl w:val="0"/>
        <w:numPr>
          <w:ilvl w:val="1"/>
          <w:numId w:val="4"/>
        </w:numPr>
        <w:tabs>
          <w:tab w:val="clear" w:pos="1000"/>
          <w:tab w:val="num" w:pos="0"/>
          <w:tab w:val="num" w:pos="732"/>
        </w:tabs>
        <w:spacing w:after="0" w:line="240" w:lineRule="auto"/>
        <w:ind w:left="0"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Офертното предложение трябва да бъде съставено от две части – 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Част първа 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"ТЕХНИЧЕСКО ПРЕДЛОЖЕНИЕ" и 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Част втора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"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ЦЕНОВО ПРЕДЛОЖЕНИЕ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".</w:t>
      </w:r>
    </w:p>
    <w:p w14:paraId="38FF972C" w14:textId="77777777" w:rsidR="00BD74AE" w:rsidRPr="00723138" w:rsidRDefault="00BD74AE" w:rsidP="00EC580E">
      <w:pPr>
        <w:tabs>
          <w:tab w:val="num" w:pos="0"/>
        </w:tabs>
        <w:spacing w:before="24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2. ЧАСТ ПЪРВА „Техническо предложение”, в това число:</w:t>
      </w:r>
    </w:p>
    <w:p w14:paraId="405753DE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1.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№5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Пакет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свързани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срока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№6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„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т.4.6.</w:t>
      </w:r>
    </w:p>
    <w:p w14:paraId="7139402A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2.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гаранционен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№7</w:t>
      </w:r>
    </w:p>
    <w:p w14:paraId="3C5F8744" w14:textId="787CDBCB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3.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№8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Справка-декларация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интегриране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специфичните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единичните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цени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възможности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тяхното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осигуряване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организиране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временно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7D506DB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Декларация, надлежно оформена по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№9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0274E085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5.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договор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№10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8D60370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6.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валидност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№11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54ED794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7. Административни сведения за кандидата – адрес, телефон, факс, e-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</w:t>
      </w:r>
      <w:r w:rsidR="00384317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 12-1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CB104DB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8.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ІІ.1.3 т.6.,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вкл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чуждестранни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Приложения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№12-2 и № 12-3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E143954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9.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ползване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№13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както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управителя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дава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своето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предварителното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определена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 4.11. </w:t>
      </w:r>
    </w:p>
    <w:p w14:paraId="38E7F0FB" w14:textId="6908F135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които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представят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т.4.11.</w:t>
      </w:r>
    </w:p>
    <w:p w14:paraId="3514A021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10.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извършен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оглед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страна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№14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34FEEBF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11. </w:t>
      </w:r>
      <w:r w:rsidRPr="0072313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72313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ИЗПЪЛНИТЕЛЯ</w:t>
      </w:r>
      <w:r w:rsidRPr="0072313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при </w:t>
      </w:r>
      <w:r w:rsidRPr="0072313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получаване на Работния проект на </w:t>
      </w:r>
      <w:r w:rsidRPr="00723138">
        <w:rPr>
          <w:rFonts w:ascii="Times New Roman" w:eastAsia="Times New Roman" w:hAnsi="Times New Roman" w:cs="Times New Roman"/>
          <w:bCs/>
          <w:sz w:val="24"/>
          <w:szCs w:val="24"/>
        </w:rPr>
        <w:t>CD</w:t>
      </w:r>
      <w:r w:rsidRPr="0072313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от </w:t>
      </w:r>
      <w:r w:rsidRPr="0072313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ВЪЗЛОЖИТЕЛЯ</w:t>
      </w:r>
      <w:r w:rsidRPr="0072313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остава при </w:t>
      </w:r>
      <w:r w:rsidRPr="0072313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ВЪЗЛОЖИТЕЛЯ</w:t>
      </w:r>
      <w:r w:rsidRPr="0072313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–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№15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C8710A4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12.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спазване на условията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управление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отпадъци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генерирани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време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-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№16.</w:t>
      </w:r>
    </w:p>
    <w:p w14:paraId="44965C23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13.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Договор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създаване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сдружение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когато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участникът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определен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е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обединение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физически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и/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юридически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ІІ.1., т.2.</w:t>
      </w:r>
    </w:p>
    <w:p w14:paraId="57598E85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14.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актуално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състояние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най-много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6</w:t>
      </w:r>
      <w:r w:rsidRPr="0072313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шест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месеца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публикуване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поканата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ата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тръжна процедура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интернет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страницата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Асарел-Медет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” АД.</w:t>
      </w:r>
    </w:p>
    <w:p w14:paraId="21BD5C0F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15. Справка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e-BY"/>
        </w:rPr>
        <w:t>за фирмата към датата на подаване на офертата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наличния средносписъчен брой на работещите във фирмата кандидат, в т.ч. /брой квалифициран работнически и ИТР персонал/.</w:t>
      </w:r>
    </w:p>
    <w:p w14:paraId="788179D2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собствена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автотранспорт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A2B6D58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Текстова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информация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фирмата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презентация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автореференция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F0E8CC8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регистрация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Централния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регистър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/ЦПРС/ –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ІІ.1, т.1.</w:t>
      </w:r>
    </w:p>
    <w:p w14:paraId="3C3B96E5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19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системи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</w:p>
    <w:p w14:paraId="5518988C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Сертификати по ISO 9001:20</w:t>
      </w:r>
      <w:r w:rsidRPr="0072313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система за управление на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качеството.Обхвата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сертификацията трябва да съответства на предмета на поръчката.</w:t>
      </w:r>
    </w:p>
    <w:p w14:paraId="2BA10608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 ISO 14001:20</w:t>
      </w:r>
      <w:r w:rsidRPr="0072313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внедряване система за опазване на околната среда. Обхвата на сертификацията трябва да съответства на предмета на поръчката.</w:t>
      </w:r>
    </w:p>
    <w:p w14:paraId="5B712C35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 ISO 45001:2018 за внедряване на система за здравето и безопасността при работа. Обхвата на сертификацията трябва да съответства на предмета на поръчката.</w:t>
      </w:r>
    </w:p>
    <w:p w14:paraId="1FB9DC26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 ISO 50001:2018 за внедряване на система за управление на енергията. Обхвата на сертификацията трябва да съответства на предмета на поръчката.</w:t>
      </w:r>
    </w:p>
    <w:p w14:paraId="383F710D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членства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организации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4E0D1FE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д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окумент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застраховка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отговорност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реда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чл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 171 ЗУТ.</w:t>
      </w:r>
    </w:p>
    <w:p w14:paraId="6FE4E80B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подобен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характер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3 /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три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пълно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предмета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посочване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цена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данни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съответния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Възложител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BA6E80E" w14:textId="77777777" w:rsidR="00BD74AE" w:rsidRPr="00723138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Референции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3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референтен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лист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адреси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телефонни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номера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контакти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други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Възложители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6CFBBD5" w14:textId="77777777" w:rsidR="009D2449" w:rsidRDefault="00BD74AE" w:rsidP="009D2449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Доказателства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търговска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репутация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-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Копия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банки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Счетоводен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баланс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Отчет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приходите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разходите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Информация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общия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оборот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оборота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обема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услугите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извършени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оферента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две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както и текущ междинен финансов отчет към последното тримесечие.</w:t>
      </w:r>
    </w:p>
    <w:p w14:paraId="76CD4E3B" w14:textId="77F999F5" w:rsidR="009D2449" w:rsidRPr="009D2449" w:rsidRDefault="009D2449" w:rsidP="009D2449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25.</w:t>
      </w:r>
      <w:bookmarkStart w:id="9" w:name="_Hlk164773207"/>
      <w:r w:rsidRPr="009D244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9D24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Декларация за съответствие с режим на наложени международни ограничителни мерки и мерки върху търговията </w:t>
      </w:r>
      <w:bookmarkEnd w:id="9"/>
      <w:r w:rsidRPr="009D24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– </w:t>
      </w:r>
      <w:r w:rsidRPr="009D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Pr="009D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14:paraId="091A9F49" w14:textId="77777777" w:rsidR="00C36983" w:rsidRPr="00723138" w:rsidRDefault="00C36983" w:rsidP="00BD74A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D5D5743" w14:textId="27CB9A75" w:rsidR="00C36983" w:rsidRPr="00723138" w:rsidRDefault="00BD74AE" w:rsidP="00EC580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ПОЯСНЕНИЕ: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Всички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съставящи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„ЧАСТ ПЪРВА”.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подаване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по-малък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запечатан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непрозрачен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надпис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който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заедно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плика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Ценово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голям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оформен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="00384317"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част</w:t>
      </w:r>
      <w:proofErr w:type="spellEnd"/>
      <w:r w:rsidR="00384317"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„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Оформяне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подготовка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A015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предложението</w:t>
      </w:r>
      <w:proofErr w:type="spellEnd"/>
      <w:r w:rsidR="00A015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proofErr w:type="gramEnd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настоящето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Техническо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задание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0EC40A1" w14:textId="77777777" w:rsidR="00B465CE" w:rsidRDefault="00B465CE" w:rsidP="00EC580E">
      <w:pPr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14:paraId="60E98875" w14:textId="5BA4EB85" w:rsidR="00BD74AE" w:rsidRPr="00723138" w:rsidRDefault="00BD74AE" w:rsidP="00EC580E">
      <w:pPr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lastRenderedPageBreak/>
        <w:t>3. ЧАСТ ВТОРА „Ценово предложение”, в това число:</w:t>
      </w:r>
    </w:p>
    <w:p w14:paraId="7A24ED55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Попълнени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остойностени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Технически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спесификации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–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№1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приложените към документацията образци. Предложението трябва да бъде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остойностено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отделни единични „твърди” цени за отделните позиции, включени в посочените приложения, които да останат такива за целия период на строителството, отчитайки инфлационни и др. процеси, влияещи пряко върху формирането им.</w:t>
      </w:r>
    </w:p>
    <w:p w14:paraId="75B1C73E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1.1. Техническа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спесификация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основните стр. материали –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№2</w:t>
      </w:r>
    </w:p>
    <w:p w14:paraId="40358EFC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1.2. Справка за ценообразуващи показатели –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№3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1BB1DF4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№4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предлагана цена и начин на плащане, което включва две части:</w:t>
      </w:r>
    </w:p>
    <w:p w14:paraId="6279139F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2.1. Обща офертна цена за услугата, която трябва да обхваща всички преки, допълнителни и специфични разходи за изпълнението;</w:t>
      </w:r>
    </w:p>
    <w:p w14:paraId="59F2AFE0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2.2. Условия за разплащане – размер на аванса, ако има такъв и междинни плащания</w:t>
      </w:r>
    </w:p>
    <w:p w14:paraId="4E51FA8B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Вътрешнофирмен ценоразпис на използваната механизация, </w:t>
      </w:r>
      <w:r w:rsidRPr="0072313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като в цената на машиносмяната се интегрират всички преки, допълнителни разходи и печалба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образец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кандидата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GB"/>
        </w:rPr>
        <w:t>/.</w:t>
      </w:r>
    </w:p>
    <w:p w14:paraId="3A057BFD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Всички попълнени от кандидата приложения описани в горните точки от 1 до 3 – се представят на хартиен и електронен носител /CD диск/. Таблиците, разработени в Excel по формулярите – образец на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F727C69" w14:textId="77777777" w:rsidR="00BD74AE" w:rsidRPr="00723138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ПОЯСНЕНИЕ: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Всички описани документи, съставляващи „ЧАСТ ВТОРА” при подаване на офертата се поставят в отделен по-малък запечатан непрозрачен плик с надпис „Ценово предложение”, който плик се поставя заедно с друг малък непрозрачен плик с надпис „Техническо предложение” съдържащ другите документи към офертата в общ голям плик, оформ</w:t>
      </w:r>
      <w:r w:rsidR="00384317"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>ен съгласно указанията в част V</w:t>
      </w:r>
      <w:r w:rsidR="004005F0" w:rsidRPr="0072313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„Оформяне и подготовка на предложението“ от настоящето Техническо задание.</w:t>
      </w:r>
    </w:p>
    <w:p w14:paraId="661BD0BD" w14:textId="77777777" w:rsidR="00BD74AE" w:rsidRPr="00723138" w:rsidRDefault="00BD74AE" w:rsidP="00EC580E">
      <w:pPr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4.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Важни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условия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участниците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:</w:t>
      </w:r>
    </w:p>
    <w:p w14:paraId="5423C198" w14:textId="77777777" w:rsidR="00BD74AE" w:rsidRPr="00723138" w:rsidRDefault="00BD74AE" w:rsidP="004005F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1.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отделния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малък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Ценово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–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само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Приложения</w:t>
      </w:r>
      <w:proofErr w:type="spellEnd"/>
      <w:r w:rsidRPr="0072313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№1, №2, №3 и №4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хартиен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електронен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носител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вътрешнофирмения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ценоразпис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мсм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ползване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AC6C360" w14:textId="157E7B6C" w:rsidR="00BD74AE" w:rsidRPr="00723138" w:rsidRDefault="00BD74AE" w:rsidP="004005F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2.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отделен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малък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всички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изискуеми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т.2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V. „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Съдържание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офертното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="000A1963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09368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proofErr w:type="gram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настоящето</w:t>
      </w:r>
      <w:proofErr w:type="spellEnd"/>
      <w:r w:rsidR="004005F0"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задание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6422DF1" w14:textId="77777777" w:rsidR="00BD74AE" w:rsidRPr="00723138" w:rsidRDefault="00BD74AE" w:rsidP="004005F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3.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Двата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плика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т.1. и т.2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голям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3E937F7" w14:textId="77777777" w:rsidR="00BD74AE" w:rsidRPr="00723138" w:rsidRDefault="00BD74AE" w:rsidP="004005F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4.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непредставяне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който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указаните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Документацията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непопълване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което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приложенията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попълване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съответният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участник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бъде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декласиран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по-нататъшно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участие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процедурата</w:t>
      </w:r>
      <w:proofErr w:type="spellEnd"/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514C829" w14:textId="77777777" w:rsidR="00BD74AE" w:rsidRPr="00723138" w:rsidRDefault="00BD74AE" w:rsidP="004005F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2313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5. 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Класирането на участниците в настоящата процедура и крайният избор на </w:t>
      </w:r>
      <w:r w:rsidRPr="007231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ГЛАВЕН ИЗПЪЛНИТЕЛ</w:t>
      </w:r>
      <w:r w:rsidRPr="007231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ще бъде извършено по утвърдена методика.</w:t>
      </w:r>
    </w:p>
    <w:p w14:paraId="3C84761B" w14:textId="77777777" w:rsidR="00B465CE" w:rsidRDefault="00B465CE" w:rsidP="00EC58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14:paraId="494FA708" w14:textId="62784F3B" w:rsidR="00BD74AE" w:rsidRPr="00723138" w:rsidRDefault="00BD74AE" w:rsidP="00EC58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7231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5. Начин на плащане</w:t>
      </w:r>
    </w:p>
    <w:p w14:paraId="0FC7CB74" w14:textId="77777777" w:rsidR="00BD74AE" w:rsidRPr="00723138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Плащането на цената се извършва по условията на сключения договор:</w:t>
      </w:r>
    </w:p>
    <w:p w14:paraId="7ED4EA0B" w14:textId="77777777" w:rsidR="00BD74AE" w:rsidRPr="00723138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- ежемесечно, в рамките на договорения срок удължен с един месец,</w:t>
      </w:r>
    </w:p>
    <w:p w14:paraId="49239E15" w14:textId="77777777" w:rsidR="00BD74AE" w:rsidRPr="00723138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- в левове по банков път,</w:t>
      </w:r>
    </w:p>
    <w:p w14:paraId="76746FA8" w14:textId="53B0DC56" w:rsidR="00BD74AE" w:rsidRPr="00EC4964" w:rsidRDefault="00BD74AE" w:rsidP="00EC580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 след изготвяне на протокол за реално извършените на обекта </w:t>
      </w:r>
      <w:r w:rsidR="00610602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F86E40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проверен, приет и подписан от представител на </w:t>
      </w:r>
      <w:r w:rsidRPr="007231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14:paraId="4B7F67D0" w14:textId="77777777" w:rsidR="00B465CE" w:rsidRDefault="00B465CE" w:rsidP="00EC580E">
      <w:pPr>
        <w:widowControl w:val="0"/>
        <w:spacing w:before="240" w:after="24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</w:p>
    <w:p w14:paraId="6BEC6CAD" w14:textId="40B3C452" w:rsidR="00BD74AE" w:rsidRPr="00EC4964" w:rsidRDefault="00BD74AE" w:rsidP="00EC580E">
      <w:pPr>
        <w:widowControl w:val="0"/>
        <w:spacing w:before="240" w:after="24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EC49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lastRenderedPageBreak/>
        <w:t>ЧАСТ V. ОФОРМЯНЕ И ПОДГОТОВКА НА ПРЕДЛОЖЕНИЕТО</w:t>
      </w:r>
    </w:p>
    <w:p w14:paraId="6812115F" w14:textId="77777777" w:rsidR="00BD74AE" w:rsidRPr="00EC496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Кандидатите в процедурата изготвят предложението си в един оригинален екземпляр.</w:t>
      </w:r>
    </w:p>
    <w:p w14:paraId="18315257" w14:textId="77777777" w:rsidR="00BD74AE" w:rsidRPr="00EC496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Предложението на кандидата се поставят в голям непрозрачен плик, който се запечатва и надписва по следния начин:</w:t>
      </w:r>
    </w:p>
    <w:p w14:paraId="37308B81" w14:textId="77777777" w:rsidR="00BD74AE" w:rsidRPr="00EC496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До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Изпълнителния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Директор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"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Асарел-Медет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" АД, 4500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гр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.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Панагюрище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.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Върху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плика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се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поставя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надпис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:</w:t>
      </w:r>
    </w:p>
    <w:p w14:paraId="5C649AAB" w14:textId="60B8D2D1" w:rsidR="00BD74AE" w:rsidRPr="00690592" w:rsidRDefault="00BD74AE" w:rsidP="00A72C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bg-BG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ФЕРТА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изпълнение на </w:t>
      </w:r>
      <w:r w:rsidR="00610602" w:rsidRPr="00EC496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2313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610602" w:rsidRPr="00EC496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  <w:r w:rsidR="00AF0CF5"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90592" w:rsidRPr="00690592">
        <w:rPr>
          <w:rFonts w:ascii="Times New Roman" w:eastAsia="Times New Roman" w:hAnsi="Times New Roman" w:cs="Times New Roman"/>
          <w:b/>
          <w:sz w:val="24"/>
          <w:szCs w:val="28"/>
          <w:lang w:val="bg-BG"/>
        </w:rPr>
        <w:t xml:space="preserve">„Реконструкция на компрометирани участъци от ХТС на промишлена площадка „Асарел“ </w:t>
      </w:r>
      <w:r w:rsidR="00690592" w:rsidRPr="00690592">
        <w:rPr>
          <w:rFonts w:ascii="Times New Roman" w:eastAsia="Times New Roman" w:hAnsi="Times New Roman" w:cs="Times New Roman"/>
          <w:b/>
          <w:bCs/>
          <w:sz w:val="24"/>
          <w:szCs w:val="28"/>
          <w:lang w:val="bg-BG"/>
        </w:rPr>
        <w:t xml:space="preserve">с подобекти: „Корпус едро Трошене“;  „Претоварен възел 2“; „Източен район ПКЗВ“; „ХТС в района на ГПП; ОРУ 2; ЗРУ и кабелни </w:t>
      </w:r>
      <w:proofErr w:type="spellStart"/>
      <w:r w:rsidR="00690592" w:rsidRPr="00690592">
        <w:rPr>
          <w:rFonts w:ascii="Times New Roman" w:eastAsia="Times New Roman" w:hAnsi="Times New Roman" w:cs="Times New Roman"/>
          <w:b/>
          <w:bCs/>
          <w:sz w:val="24"/>
          <w:szCs w:val="28"/>
          <w:lang w:val="bg-BG"/>
        </w:rPr>
        <w:t>подвали</w:t>
      </w:r>
      <w:proofErr w:type="spellEnd"/>
      <w:r w:rsidR="00690592" w:rsidRPr="00690592">
        <w:rPr>
          <w:rFonts w:ascii="Times New Roman" w:eastAsia="Times New Roman" w:hAnsi="Times New Roman" w:cs="Times New Roman"/>
          <w:b/>
          <w:bCs/>
          <w:sz w:val="24"/>
          <w:szCs w:val="28"/>
          <w:lang w:val="bg-BG"/>
        </w:rPr>
        <w:t xml:space="preserve"> ГПП главен корпус“</w:t>
      </w:r>
      <w:r w:rsidR="00A72C22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 xml:space="preserve"> 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и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Забележка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Pr="00EC4964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„</w:t>
      </w:r>
      <w:proofErr w:type="spellStart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Да</w:t>
      </w:r>
      <w:proofErr w:type="spellEnd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се</w:t>
      </w:r>
      <w:proofErr w:type="spellEnd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отвори</w:t>
      </w:r>
      <w:proofErr w:type="spellEnd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само</w:t>
      </w:r>
      <w:proofErr w:type="spellEnd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в </w:t>
      </w:r>
      <w:proofErr w:type="spellStart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присъствието</w:t>
      </w:r>
      <w:proofErr w:type="spellEnd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определената</w:t>
      </w:r>
      <w:proofErr w:type="spellEnd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целта</w:t>
      </w:r>
      <w:proofErr w:type="spellEnd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комисия</w:t>
      </w:r>
      <w:proofErr w:type="spellEnd"/>
      <w:r w:rsidRPr="00EC496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!</w:t>
      </w:r>
      <w:r w:rsidRPr="00EC4964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”</w:t>
      </w:r>
    </w:p>
    <w:p w14:paraId="1A8E84EA" w14:textId="77777777" w:rsidR="00BD74AE" w:rsidRPr="00EC496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Върху плика кандидатът поставя и надпис, съдържащ: фирма на кандидата, точен адрес за кореспонденция, телефон, факс и електронен адрес.</w:t>
      </w:r>
    </w:p>
    <w:p w14:paraId="688DC2F9" w14:textId="77777777" w:rsidR="00BD74AE" w:rsidRPr="00EC496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В големия външен плик се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комплектоват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: малък плик с надпис „Ценово предложение” и малък плик с надпис „Техническо предложение”.</w:t>
      </w:r>
    </w:p>
    <w:p w14:paraId="217DAC9E" w14:textId="77777777" w:rsidR="00BD74AE" w:rsidRPr="00EC496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Предложението, както и всички приложения към него, изготвени от кандидата следва да носят подписа на лицето, което го представлява по силата на съдебното решение за регистрация.</w:t>
      </w:r>
    </w:p>
    <w:p w14:paraId="6D53DAEC" w14:textId="767E32B4" w:rsidR="00BD74AE" w:rsidRPr="00EC4964" w:rsidRDefault="00BD74AE" w:rsidP="00EC580E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EC49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V</w:t>
      </w:r>
      <w:r w:rsidR="00700FB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I</w:t>
      </w:r>
      <w:r w:rsidRPr="00EC49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. ПРЕДСТАВЯНЕ НА ПРЕДЛОЖЕНИЕТО</w:t>
      </w:r>
    </w:p>
    <w:p w14:paraId="45029269" w14:textId="77777777" w:rsidR="00BD74AE" w:rsidRPr="00EC496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Офертата да се представи по един от следните начини:</w:t>
      </w:r>
    </w:p>
    <w:p w14:paraId="0EB79798" w14:textId="77777777" w:rsidR="00BD74AE" w:rsidRPr="00EC4964" w:rsidRDefault="00BD74AE" w:rsidP="00AF0C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В деловодството на Дружеството в непрозрачен запечатан плик, адресиран до Изпълнителния Директор на „Асарел - Медет” АД, 4500 гр. Панагюрище, с надпис:</w:t>
      </w:r>
    </w:p>
    <w:p w14:paraId="3ED994DA" w14:textId="7CA6C89C" w:rsidR="00DF5DC5" w:rsidRPr="00DF5DC5" w:rsidRDefault="00BD74AE" w:rsidP="00DF5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ОФЕРТА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610602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</w:t>
      </w:r>
      <w:r w:rsidR="00F86E40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Р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="00DF5DC5" w:rsidRPr="00DF5D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„Реконструкция на компрометирани участъци от ХТС на промишлена площадка „</w:t>
      </w:r>
      <w:proofErr w:type="gramStart"/>
      <w:r w:rsidR="00DF5DC5" w:rsidRPr="00DF5D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Асарел“</w:t>
      </w:r>
      <w:r w:rsidR="006E45F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DF5DC5" w:rsidRPr="00DF5DC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</w:t>
      </w:r>
      <w:proofErr w:type="gramEnd"/>
      <w:r w:rsidR="00DF5DC5" w:rsidRPr="00DF5DC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подобекти: „Корпус едро Трошене“;  „Претоварен възел 2“; „Източен район ПКЗВ“; „ХТС в района на ГПП; ОРУ 2; ЗРУ и кабелни </w:t>
      </w:r>
      <w:proofErr w:type="spellStart"/>
      <w:r w:rsidR="00DF5DC5" w:rsidRPr="00DF5DC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подвали</w:t>
      </w:r>
      <w:proofErr w:type="spellEnd"/>
      <w:r w:rsidR="00DF5DC5" w:rsidRPr="00DF5DC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ГПП главен корпус“.</w:t>
      </w:r>
    </w:p>
    <w:p w14:paraId="7F53E1FA" w14:textId="3C303255" w:rsidR="00BD74AE" w:rsidRPr="00EC4964" w:rsidRDefault="00BD74AE" w:rsidP="00DF5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2. По обикновена или куриерска поща, запечатани в плик, адресирани до (както в предишната точка) /валидно е и пощенско клеймо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ru-RU"/>
        </w:rPr>
        <w:t>/.</w:t>
      </w:r>
    </w:p>
    <w:p w14:paraId="501124D0" w14:textId="77777777" w:rsidR="00BD74AE" w:rsidRPr="00EC4964" w:rsidRDefault="00BD74AE" w:rsidP="00BD74AE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Предложения, получени след крайния срок за представяне, не се приемат. Не се приемат и предложения, представени в </w:t>
      </w:r>
      <w:proofErr w:type="spellStart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незапечатан</w:t>
      </w:r>
      <w:proofErr w:type="spellEnd"/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или с нарушена цялост плик.</w:t>
      </w:r>
    </w:p>
    <w:p w14:paraId="3CBE161B" w14:textId="1C9E0276" w:rsidR="00BD74AE" w:rsidRPr="00EC4964" w:rsidRDefault="00BD74AE" w:rsidP="00BD74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Крайният срок за представяне на офертата е 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до 1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.30 часа на </w:t>
      </w:r>
      <w:r w:rsidR="001208D2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25.10.</w:t>
      </w:r>
      <w:r w:rsidR="00D425B2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2024</w:t>
      </w:r>
      <w:r w:rsidR="001208D2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="00D425B2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г.</w:t>
      </w:r>
    </w:p>
    <w:p w14:paraId="6362DBC7" w14:textId="77777777" w:rsidR="00BD74AE" w:rsidRPr="00EC4964" w:rsidRDefault="00BD74AE" w:rsidP="00BD74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 периода на подготовка на офертата кандидатите могат да задават и  в писмена форма уточняващи въпроси на лицето за връзка, посочено в поканата за оферта, но не по-късно от 3 (три) дни преди изтичане на крайния срок за предаване на офертите.</w:t>
      </w:r>
    </w:p>
    <w:p w14:paraId="6296568E" w14:textId="77777777" w:rsidR="00700FB7" w:rsidRPr="00EC4964" w:rsidRDefault="00BD74AE" w:rsidP="00BD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</w:t>
      </w:r>
      <w:r w:rsidRPr="00EC49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До изтичане на срока за подаване на предложенията всеки кандидат може да промени, допълни или оттегли предложението си.</w:t>
      </w:r>
    </w:p>
    <w:p w14:paraId="3C8369B1" w14:textId="626C2624" w:rsidR="00BD74AE" w:rsidRPr="00EC4964" w:rsidRDefault="00BD74AE" w:rsidP="00EC580E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EC49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VІ</w:t>
      </w:r>
      <w:r w:rsidR="00700FB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I</w:t>
      </w:r>
      <w:r w:rsidRPr="00EC49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. РАЗГЛЕЖДАНЕ, ОЦЕНКА И КЛАСИРАНЕ НА ПРЕДЛОЖЕНИЯТА</w:t>
      </w:r>
    </w:p>
    <w:p w14:paraId="187A788E" w14:textId="77777777" w:rsidR="00BD74AE" w:rsidRPr="00EC4964" w:rsidRDefault="00BD74AE" w:rsidP="00BD74AE">
      <w:pPr>
        <w:numPr>
          <w:ilvl w:val="0"/>
          <w:numId w:val="6"/>
        </w:numPr>
        <w:spacing w:before="40" w:after="0" w:line="240" w:lineRule="auto"/>
        <w:ind w:left="1418" w:hanging="284"/>
        <w:contextualSpacing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EC496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ru-RU" w:eastAsia="de-DE"/>
        </w:rPr>
        <w:t>Отваряне и разглеждане на предложенията</w:t>
      </w:r>
    </w:p>
    <w:p w14:paraId="2D6F9D7A" w14:textId="77777777" w:rsidR="00BD74AE" w:rsidRPr="00EC4964" w:rsidRDefault="00BD74AE" w:rsidP="00700FB7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Отварянето и разглеждането на предложенията ще се извърши на закрито заседание в 10 (десет) дневен срок след крайната дата на предаване на предложенията в "Асарел-Медет" АД, гр. Панагюрище от комисия, чийто състав ще бъде обявен със Заповед на Изпълнителния Директор. </w:t>
      </w:r>
    </w:p>
    <w:p w14:paraId="2DF92C82" w14:textId="77777777" w:rsidR="00BD74AE" w:rsidRPr="00EC4964" w:rsidRDefault="00BD74AE" w:rsidP="00700FB7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При отварянето на пликовете комисията прави преглед и проверява съответствието на предложенията с предварително обявените условия в Техническото 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lastRenderedPageBreak/>
        <w:t>задание спрямо:</w:t>
      </w:r>
    </w:p>
    <w:p w14:paraId="4B2D533D" w14:textId="77777777" w:rsidR="00BD74AE" w:rsidRPr="00EC4964" w:rsidRDefault="00BD74AE" w:rsidP="00700FB7">
      <w:pPr>
        <w:widowControl w:val="0"/>
        <w:numPr>
          <w:ilvl w:val="1"/>
          <w:numId w:val="7"/>
        </w:numPr>
        <w:spacing w:after="0" w:line="240" w:lineRule="auto"/>
        <w:ind w:left="0"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Част  V,</w:t>
      </w:r>
      <w:r w:rsidR="00700F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V</w:t>
      </w:r>
      <w:r w:rsidR="00700FB7">
        <w:rPr>
          <w:rFonts w:ascii="Times New Roman" w:eastAsia="Times New Roman" w:hAnsi="Times New Roman" w:cs="Times New Roman"/>
          <w:snapToGrid w:val="0"/>
          <w:sz w:val="24"/>
          <w:szCs w:val="24"/>
        </w:rPr>
        <w:t>I</w:t>
      </w:r>
      <w:r w:rsidR="00384317"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 VІ</w:t>
      </w:r>
      <w:r w:rsidR="00700FB7">
        <w:rPr>
          <w:rFonts w:ascii="Times New Roman" w:eastAsia="Times New Roman" w:hAnsi="Times New Roman" w:cs="Times New Roman"/>
          <w:snapToGrid w:val="0"/>
          <w:sz w:val="24"/>
          <w:szCs w:val="24"/>
        </w:rPr>
        <w:t>I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14:paraId="24DF2719" w14:textId="77777777" w:rsidR="00BD74AE" w:rsidRPr="00EC4964" w:rsidRDefault="00BD74AE" w:rsidP="00700FB7">
      <w:pPr>
        <w:widowControl w:val="0"/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1.2. Проверка за пълнотата на представените документи по Част 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</w:rPr>
        <w:t>V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т. 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2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(Част ПЪРВА "ТЕХНИЧЕСКО ПРЕДЛОЖЕНИЕ"), начина на попълването на образците и формата, в която са представени всички други технически документи (извън образците).</w:t>
      </w:r>
    </w:p>
    <w:p w14:paraId="1FEBBF0E" w14:textId="77777777" w:rsidR="00BD74AE" w:rsidRPr="00EC4964" w:rsidRDefault="00BD74AE" w:rsidP="00700FB7">
      <w:pPr>
        <w:widowControl w:val="0"/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1.3. При установено от комисията съответствие на документите от ТЕХНИЧЕСКИТЕ ПРЕДЛОЖЕНИЯ спрямо предварителните изисквания, фирмите продължават своето участие.</w:t>
      </w:r>
    </w:p>
    <w:p w14:paraId="320D2ED0" w14:textId="77777777" w:rsidR="00BD74AE" w:rsidRPr="00EC4964" w:rsidRDefault="00BD74AE" w:rsidP="00700FB7">
      <w:pPr>
        <w:widowControl w:val="0"/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1.4. Ако при така направения преглед комисията констатира допуснати пропуски от някоя от фирмите в техническите им предложения, то съответната фирма автоматично се декласира от по-нататъшно участие, както предварително е обявено в Част 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</w:rPr>
        <w:t>V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т. 4.4. и ценовата оферта не се отваря.</w:t>
      </w:r>
    </w:p>
    <w:p w14:paraId="3EC9BA47" w14:textId="77777777" w:rsidR="00BD74AE" w:rsidRPr="00EC4964" w:rsidRDefault="00BD74AE" w:rsidP="00BD74AE">
      <w:pPr>
        <w:keepNext/>
        <w:numPr>
          <w:ilvl w:val="0"/>
          <w:numId w:val="7"/>
        </w:numPr>
        <w:spacing w:before="40"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EC496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Оценяване</w:t>
      </w:r>
      <w:r w:rsidRPr="00EC4964"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bg-BG" w:eastAsia="de-DE"/>
        </w:rPr>
        <w:t xml:space="preserve"> </w:t>
      </w:r>
      <w:r w:rsidRPr="00EC496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и класиране</w:t>
      </w:r>
    </w:p>
    <w:p w14:paraId="5BFC1207" w14:textId="77777777" w:rsidR="00BD74AE" w:rsidRPr="00EC4964" w:rsidRDefault="00BD74AE" w:rsidP="00324F8B">
      <w:pPr>
        <w:widowControl w:val="0"/>
        <w:numPr>
          <w:ilvl w:val="1"/>
          <w:numId w:val="7"/>
        </w:numPr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bg-BG"/>
        </w:rPr>
        <w:t>Класирането на предложенията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се извършва по комплексна методика за оценка на предложенията съобразно одобрените критерии.</w:t>
      </w:r>
    </w:p>
    <w:p w14:paraId="704C8762" w14:textId="77777777" w:rsidR="00BD74AE" w:rsidRPr="00EC4964" w:rsidRDefault="00BD74AE" w:rsidP="00324F8B">
      <w:pPr>
        <w:widowControl w:val="0"/>
        <w:numPr>
          <w:ilvl w:val="1"/>
          <w:numId w:val="7"/>
        </w:numPr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Комисията оценява и класира кандидатите съгласно изискванията на политиката на Дружеството по оценка и подбор на доставчици на стоки и услуги:</w:t>
      </w:r>
    </w:p>
    <w:p w14:paraId="42F2A992" w14:textId="77777777" w:rsidR="00BD74AE" w:rsidRPr="00EC4964" w:rsidRDefault="00BD74AE" w:rsidP="00324F8B">
      <w:pPr>
        <w:widowControl w:val="0"/>
        <w:numPr>
          <w:ilvl w:val="2"/>
          <w:numId w:val="7"/>
        </w:numPr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След като Комисията е пр</w:t>
      </w:r>
      <w:r w:rsidR="00384317"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иключила работата си по Част VІ</w:t>
      </w:r>
      <w:r w:rsidR="00700FB7">
        <w:rPr>
          <w:rFonts w:ascii="Times New Roman" w:eastAsia="Times New Roman" w:hAnsi="Times New Roman" w:cs="Times New Roman"/>
          <w:snapToGrid w:val="0"/>
          <w:sz w:val="24"/>
          <w:szCs w:val="24"/>
        </w:rPr>
        <w:t>I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І, т. 1, тя прави Техническа оценка по методика за оценка на предложенията и класиране на техническите предложения на участниците, допуснати до по-нататъшно участие.</w:t>
      </w:r>
    </w:p>
    <w:p w14:paraId="72602053" w14:textId="77777777" w:rsidR="00BD74AE" w:rsidRPr="00EC4964" w:rsidRDefault="00BD74AE" w:rsidP="00324F8B">
      <w:pPr>
        <w:widowControl w:val="0"/>
        <w:numPr>
          <w:ilvl w:val="2"/>
          <w:numId w:val="7"/>
        </w:numPr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Комисията пристъпва към отваряне на "ЦЕНОВИТЕ ПРЕДЛОЖЕНИЯ", прави преглед за пълнотата на попълването им спрямо съответните приложения - образци към офертната документация. Прави се сравнителна таблица и анализ на офертните ценови предложения. </w:t>
      </w:r>
    </w:p>
    <w:p w14:paraId="6CC50BA2" w14:textId="77777777" w:rsidR="00BD74AE" w:rsidRPr="00EC4964" w:rsidRDefault="00BD74AE" w:rsidP="00BD74AE">
      <w:pPr>
        <w:spacing w:before="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При проверката за съответствие се съблюдават следните условия:</w:t>
      </w:r>
    </w:p>
    <w:p w14:paraId="5E5C2CE0" w14:textId="77777777" w:rsidR="00BD74AE" w:rsidRPr="00EC4964" w:rsidRDefault="00BD74AE" w:rsidP="00BD74AE">
      <w:pPr>
        <w:spacing w:before="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- При установено от комисията съответствие на документите от Ценовите предложения спрямо предварителните изисквания, фирмите продължават своето участие с оценка по комплексна методика.</w:t>
      </w:r>
    </w:p>
    <w:p w14:paraId="1132844A" w14:textId="77777777" w:rsidR="00BD74AE" w:rsidRPr="00EC4964" w:rsidRDefault="00BD74AE" w:rsidP="00BD74AE">
      <w:pPr>
        <w:spacing w:before="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 Ако при направения преглед комисията констатира допуснати пропуски от фирмите при представянето на ценовите им предложения, то съответната фирма автоматично се декласира от по-нататъшно участие, както предварително  е обявено в Част V т.4. </w:t>
      </w:r>
    </w:p>
    <w:p w14:paraId="5A09C879" w14:textId="77777777" w:rsidR="00BD74AE" w:rsidRPr="00EC4964" w:rsidRDefault="00BD74AE" w:rsidP="00BD74AE">
      <w:pPr>
        <w:spacing w:before="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 Комисията прави „Финансова оценка” на Ценовите предложения на допуснатите фирми по определена методика на </w:t>
      </w:r>
      <w:r w:rsidRPr="00EC49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.</w:t>
      </w:r>
    </w:p>
    <w:p w14:paraId="445CAFA3" w14:textId="77777777" w:rsidR="00BD74AE" w:rsidRPr="00EC4964" w:rsidRDefault="00BD74AE" w:rsidP="00BD74AE">
      <w:pPr>
        <w:spacing w:before="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- Класирането по Методиката завършва с извършване на Комплексна оценка, въз основа на която в десетдневен срок след отваряне на предложенията Комисията класира по низходящ ред кандидатите в процедурата.</w:t>
      </w:r>
    </w:p>
    <w:p w14:paraId="32CAC659" w14:textId="77777777" w:rsidR="00BD74AE" w:rsidRPr="00EC4964" w:rsidRDefault="00BD74AE" w:rsidP="00BD74AE">
      <w:pPr>
        <w:numPr>
          <w:ilvl w:val="0"/>
          <w:numId w:val="7"/>
        </w:numPr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EC496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Протокол за разглеждане, оценяване и класиране</w:t>
      </w:r>
    </w:p>
    <w:p w14:paraId="28281EC6" w14:textId="77777777" w:rsidR="00BD74AE" w:rsidRPr="00EC4964" w:rsidRDefault="00BD74AE" w:rsidP="00BD74AE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Комисията съставя Протокол за разглеждане, оценяване и класиране на офертните предложения, който съдържа:</w:t>
      </w:r>
    </w:p>
    <w:p w14:paraId="26314EA0" w14:textId="77777777" w:rsidR="00BD74AE" w:rsidRPr="00EC496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Състав на комисията</w:t>
      </w:r>
      <w:r w:rsidR="00BF4B1A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4CA2088C" w14:textId="77777777" w:rsidR="00BD74AE" w:rsidRPr="00EC496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Списък на подадените предложения</w:t>
      </w:r>
      <w:r w:rsidR="00BF4B1A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7F2EB414" w14:textId="77777777" w:rsidR="00BD74AE" w:rsidRPr="00EC496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Списък на предложенията, отстранени от процедурата</w:t>
      </w:r>
      <w:r w:rsidR="00BF4B1A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3DBF5F92" w14:textId="77777777" w:rsidR="00BD74AE" w:rsidRPr="00EC496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Резултатите от разглеждането на отделните предложения</w:t>
      </w:r>
      <w:r w:rsidR="00BF4B1A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71C24B10" w14:textId="77777777" w:rsidR="00BD74AE" w:rsidRPr="00EC496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Становища на участниците в комисията</w:t>
      </w:r>
      <w:r w:rsidR="00BF4B1A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45C69BA6" w14:textId="77777777" w:rsidR="00BD74AE" w:rsidRPr="00EC496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Класиране на предложенията</w:t>
      </w:r>
      <w:r w:rsidR="00BF4B1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6F4E0C70" w14:textId="77777777" w:rsidR="00BD74AE" w:rsidRPr="00EC4964" w:rsidRDefault="00BD74AE" w:rsidP="00BD74AE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Комисията приключва своята работа с подписването на този Протокол.</w:t>
      </w:r>
    </w:p>
    <w:p w14:paraId="20401C6D" w14:textId="77777777" w:rsidR="00BD74AE" w:rsidRPr="00EC4964" w:rsidRDefault="00BD74AE" w:rsidP="00BD74AE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Протоколът с всички приложения към него и офертите на всички участници, се предават на Изпълнителният директор на "Асарел-Медет" АД за окончателно РЕШЕНИЕ относно избор на </w:t>
      </w:r>
      <w:r w:rsidRPr="00EC49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услугата. </w:t>
      </w:r>
    </w:p>
    <w:p w14:paraId="568F3F43" w14:textId="77777777" w:rsidR="00BD74AE" w:rsidRPr="00EC4964" w:rsidRDefault="00BD74AE" w:rsidP="00BD74AE">
      <w:pPr>
        <w:numPr>
          <w:ilvl w:val="0"/>
          <w:numId w:val="7"/>
        </w:numPr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EC496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Обявяване</w:t>
      </w:r>
      <w:r w:rsidRPr="00EC4964"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bg-BG" w:eastAsia="de-DE"/>
        </w:rPr>
        <w:t xml:space="preserve"> </w:t>
      </w:r>
      <w:r w:rsidRPr="00EC496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на резултатите от проведената процедура</w:t>
      </w:r>
    </w:p>
    <w:p w14:paraId="507AD9FC" w14:textId="77777777" w:rsidR="00BD74AE" w:rsidRPr="00EC4964" w:rsidRDefault="00BD74AE" w:rsidP="00BD74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В срок от десет (10) дни от подписване на протокола за разглеждане на предложенията Изпълнителният Директор на "Асарел-Медет" АД, гр. Панагюрище като </w:t>
      </w:r>
      <w:r w:rsidRPr="00EC49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посочва в свое РЕШЕНИЕ кандидата, класиран на първо място и определя същия за </w:t>
      </w:r>
      <w:r w:rsidRPr="00EC49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обекта. Кандидатите се уведомяват писмено за резултатите от оценяването и решението на </w:t>
      </w:r>
      <w:r w:rsidRPr="00EC49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пет (5) дневен срок след приключване на процедурата по избор на </w:t>
      </w:r>
      <w:r w:rsidRPr="00EC49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40980ED" w14:textId="77777777" w:rsidR="00BD74AE" w:rsidRPr="00EC4964" w:rsidRDefault="00BD74AE" w:rsidP="00BD74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Всички материали от проведената процедура се съхраняват в "Технически архив" на дружеството.</w:t>
      </w:r>
    </w:p>
    <w:p w14:paraId="4BA3B88C" w14:textId="5F2403DB" w:rsidR="00BD74AE" w:rsidRPr="00EC4964" w:rsidRDefault="00384317" w:rsidP="00EC580E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EC49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 xml:space="preserve">ЧАСТ </w:t>
      </w:r>
      <w:r w:rsidR="003721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V</w:t>
      </w:r>
      <w:r w:rsidR="003721CB" w:rsidRPr="003721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en-AU"/>
        </w:rPr>
        <w:t>ІІІ</w:t>
      </w:r>
      <w:r w:rsidR="00BD74AE" w:rsidRPr="00EC49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. СКЛЮЧВАНЕ НА ДОГОВОР</w:t>
      </w:r>
    </w:p>
    <w:p w14:paraId="62EBB264" w14:textId="4A1A33ED" w:rsidR="00BD74AE" w:rsidRPr="00EC4964" w:rsidRDefault="00BD74AE" w:rsidP="00BD74AE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Договорът за изпълнение на </w:t>
      </w:r>
      <w:r w:rsidR="00610602"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72313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обекта ще бъде сключен с кандидата, избран за </w:t>
      </w:r>
      <w:r w:rsidRPr="00EC49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в 15-дневен срок от решението на ИД за определянето му и срещу представени от страна на </w:t>
      </w:r>
      <w:r w:rsidRPr="00EC49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ИЗПЪЛНИТЕЛЯ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документи по Част ІІ "Изисквания към кандидатите" от настоящата Документация.</w:t>
      </w:r>
    </w:p>
    <w:p w14:paraId="072796E0" w14:textId="77777777" w:rsidR="00BD74AE" w:rsidRPr="00EC4964" w:rsidRDefault="00BD74AE" w:rsidP="00BD74AE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При отказ на кандидата, определен за </w:t>
      </w:r>
      <w:r w:rsidRPr="00EC49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да сключи договор "Асарел-Медет" АД предлага договора да бъде сключен със следващия класиран кандидат.</w:t>
      </w:r>
    </w:p>
    <w:p w14:paraId="14D3BC1C" w14:textId="77777777" w:rsidR="00BD74AE" w:rsidRPr="00EC4964" w:rsidRDefault="00BD74AE" w:rsidP="00BD74AE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Договорът не се сключва при съществена промяна в обстоятелствата, включително при невъзможност да се осигури финансиране за изпълнението на услугата по причини, които </w:t>
      </w:r>
      <w:r w:rsidRPr="00EC49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ВЪЗЛОЖИТЕЛЯТ</w:t>
      </w:r>
      <w:r w:rsidRPr="00EC496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не е могъл да предвиди.</w:t>
      </w:r>
    </w:p>
    <w:p w14:paraId="19E44282" w14:textId="77777777" w:rsidR="00BD74AE" w:rsidRPr="00EC4964" w:rsidRDefault="00BD74AE" w:rsidP="00BD7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          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Обръщаме внимание, че създадения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64D841E0" w14:textId="77777777" w:rsidR="00BD74AE" w:rsidRPr="00EC4964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Настоящето Техническо задание ще бъде публикувано в интернет страницата на „Асарел - Медет” АД.</w:t>
      </w:r>
    </w:p>
    <w:p w14:paraId="5764279C" w14:textId="77777777" w:rsidR="00BD74AE" w:rsidRPr="00EC4964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контакти: „Асарел – Медет” АД; </w:t>
      </w:r>
    </w:p>
    <w:p w14:paraId="38506177" w14:textId="680A838F" w:rsidR="00751C1F" w:rsidRDefault="00BD74AE" w:rsidP="00D1362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Инвеститорски контрол </w:t>
      </w:r>
      <w:r w:rsidR="00324F8B"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24F8B"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инж. </w:t>
      </w:r>
      <w:r w:rsidR="00F86E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Цветана </w:t>
      </w:r>
      <w:proofErr w:type="spellStart"/>
      <w:r w:rsidR="00F86E40">
        <w:rPr>
          <w:rFonts w:ascii="Times New Roman" w:eastAsia="Times New Roman" w:hAnsi="Times New Roman" w:cs="Times New Roman"/>
          <w:sz w:val="24"/>
          <w:szCs w:val="24"/>
          <w:lang w:val="bg-BG"/>
        </w:rPr>
        <w:t>Калпакова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, тел: 0357/60</w:t>
      </w:r>
      <w:r w:rsidR="00C32534"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86E40">
        <w:rPr>
          <w:rFonts w:ascii="Times New Roman" w:eastAsia="Times New Roman" w:hAnsi="Times New Roman" w:cs="Times New Roman"/>
          <w:sz w:val="24"/>
          <w:szCs w:val="24"/>
          <w:lang w:val="bg-BG"/>
        </w:rPr>
        <w:t>210 вътр. 654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245D00"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</w:t>
      </w:r>
      <w:r w:rsidRPr="00EC4964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 w:history="1">
        <w:r w:rsidR="008742C0" w:rsidRPr="001023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tskalpakova@asarel.com</w:t>
        </w:r>
      </w:hyperlink>
      <w:r w:rsidR="00F86E4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3236610" w14:textId="77777777" w:rsidR="008742C0" w:rsidRPr="00EC580E" w:rsidRDefault="008742C0" w:rsidP="00D1362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EB7EB3E" w14:textId="70A348E5" w:rsidR="00BD74AE" w:rsidRPr="00EC4964" w:rsidRDefault="00384317" w:rsidP="00EC580E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EC49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 xml:space="preserve">ЧАСТ </w:t>
      </w:r>
      <w:r w:rsidR="003721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I</w:t>
      </w:r>
      <w:r w:rsidRPr="00EC49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X</w:t>
      </w:r>
      <w:r w:rsidR="00BD74AE" w:rsidRPr="00EC49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.ПРИЛОЖЕНИЯ</w:t>
      </w:r>
    </w:p>
    <w:p w14:paraId="70C8A1A1" w14:textId="77777777" w:rsidR="00BD74AE" w:rsidRPr="00EC4964" w:rsidRDefault="00BD74AE" w:rsidP="00BD74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1.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 – „Техническа спецификация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обобщена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количествена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сметка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извадка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работния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BEDA448" w14:textId="77777777" w:rsidR="00BD74AE" w:rsidRPr="00EC4964" w:rsidRDefault="00BD74AE" w:rsidP="00BD74AE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№2 - Техническа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спесификация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основните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материали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които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бъдат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влагани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6C455AB" w14:textId="77777777" w:rsidR="00BD74AE" w:rsidRPr="00EC4964" w:rsidRDefault="00BD74AE" w:rsidP="00BD74AE">
      <w:pPr>
        <w:widowControl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№3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ценообразуващи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показатели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5175018" w14:textId="77777777" w:rsidR="00BD74AE" w:rsidRPr="00EC4964" w:rsidRDefault="00BD74AE" w:rsidP="00BD74AE">
      <w:pPr>
        <w:widowControl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4.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№4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Предлагана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обща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цена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начин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разплащане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A6893CB" w14:textId="77777777" w:rsidR="00BD74AE" w:rsidRPr="00EC4964" w:rsidRDefault="00BD74AE" w:rsidP="00BD74AE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5.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№5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Пакетът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свързани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срока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срокове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времетраене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план-график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начален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краен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готовност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отпочване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8FA9BF4" w14:textId="77777777" w:rsidR="00BD74AE" w:rsidRPr="00EC4964" w:rsidRDefault="00BD74AE" w:rsidP="00BD74AE">
      <w:pPr>
        <w:widowControl w:val="0"/>
        <w:tabs>
          <w:tab w:val="left" w:pos="851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6.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№6–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13DA4E1" w14:textId="77777777" w:rsidR="00BD74AE" w:rsidRPr="00EC496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7.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№7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гаранционен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4EAF8EC" w14:textId="77777777" w:rsidR="00BD74AE" w:rsidRPr="00EC4964" w:rsidRDefault="00D30E9F" w:rsidP="00D30E9F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</w:t>
      </w:r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8.</w:t>
      </w:r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№8 –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Справка-декларация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интегриране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специфичните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единичните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цени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възможности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тяхното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осигуряване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организиране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временно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55C3D85" w14:textId="77777777" w:rsidR="00BD74AE" w:rsidRPr="00EC4964" w:rsidRDefault="00BD74AE" w:rsidP="00BD74AE">
      <w:pPr>
        <w:widowControl w:val="0"/>
        <w:tabs>
          <w:tab w:val="left" w:pos="0"/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9.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№9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задълбочено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проучване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техническите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спесификации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спазване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стандартите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техническите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спесификации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задължение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представяне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доказателства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съответствие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вложените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продукти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услуги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lastRenderedPageBreak/>
        <w:t>съответните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стандарти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EB0D6BF" w14:textId="77777777" w:rsidR="00BD74AE" w:rsidRPr="00EC4964" w:rsidRDefault="00D30E9F" w:rsidP="00BD74AE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>10.</w:t>
      </w:r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№10 –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Проекто-Договор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r w:rsidR="00BD74AE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12B1ACA" w14:textId="77777777" w:rsidR="00BD74AE" w:rsidRPr="00EC496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11.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№11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валидност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DAF9ED1" w14:textId="77777777" w:rsidR="00BD74AE" w:rsidRPr="00EC496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12.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Приложения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№12 – /12-1, 12-2 и 12-</w:t>
      </w:r>
      <w:r w:rsidR="0070452D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3/ – „</w:t>
      </w:r>
      <w:proofErr w:type="spellStart"/>
      <w:r w:rsidR="0070452D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Административни</w:t>
      </w:r>
      <w:proofErr w:type="spellEnd"/>
      <w:r w:rsidR="0070452D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0452D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сведения</w:t>
      </w:r>
      <w:proofErr w:type="spellEnd"/>
      <w:r w:rsidR="0070452D"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”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отсъствие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обстоятелства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ІІ.1., т.3.</w:t>
      </w:r>
    </w:p>
    <w:p w14:paraId="556CC1F1" w14:textId="77777777" w:rsidR="00BD74AE" w:rsidRPr="00EC496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13.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№13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8592ADE" w14:textId="77777777" w:rsidR="00BD74AE" w:rsidRPr="00EC496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14.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№14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оглед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площадката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FCE6B34" w14:textId="77777777" w:rsidR="00BD74AE" w:rsidRPr="00EC496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15.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№15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конфиденциалност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CF37A97" w14:textId="77777777" w:rsidR="00BD74AE" w:rsidRPr="00EC496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16.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№16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управление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строителните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отпадъци</w:t>
      </w:r>
      <w:proofErr w:type="spellEnd"/>
    </w:p>
    <w:p w14:paraId="0D81BADB" w14:textId="77777777" w:rsidR="00011785" w:rsidRDefault="00BD74AE" w:rsidP="00011785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C49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17.</w:t>
      </w:r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№17 –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разработка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C496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CD.</w:t>
      </w:r>
    </w:p>
    <w:p w14:paraId="7CABDA17" w14:textId="7A3E11C8" w:rsidR="00011785" w:rsidRPr="00011785" w:rsidRDefault="00011785" w:rsidP="00011785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011785">
        <w:rPr>
          <w:rFonts w:ascii="Times New Roman" w:eastAsia="Times New Roman" w:hAnsi="Times New Roman" w:cs="Times New Roman"/>
          <w:sz w:val="24"/>
          <w:szCs w:val="24"/>
          <w:lang w:val="bg-BG"/>
        </w:rPr>
        <w:t>Прил</w:t>
      </w:r>
      <w:r w:rsidR="00E10822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011785">
        <w:rPr>
          <w:rFonts w:ascii="Times New Roman" w:eastAsia="Times New Roman" w:hAnsi="Times New Roman" w:cs="Times New Roman"/>
          <w:sz w:val="24"/>
          <w:szCs w:val="24"/>
          <w:lang w:val="bg-BG"/>
        </w:rPr>
        <w:t>жение №1</w:t>
      </w:r>
      <w:r w:rsidR="00E10822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11785">
        <w:rPr>
          <w:rFonts w:ascii="Times New Roman" w:eastAsia="Times New Roman" w:hAnsi="Times New Roman" w:cs="Times New Roman"/>
          <w:sz w:val="24"/>
          <w:szCs w:val="24"/>
          <w:lang w:val="en-AU"/>
        </w:rPr>
        <w:t>–</w:t>
      </w:r>
      <w:r w:rsidRPr="00011785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за съответствие с режим на наложени международни ограничителни мерки и мерки върху търговията.</w:t>
      </w:r>
    </w:p>
    <w:p w14:paraId="68A9B98F" w14:textId="67DAAB13" w:rsidR="00011785" w:rsidRPr="00011785" w:rsidRDefault="00011785" w:rsidP="00E464A6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B3E9309" w14:textId="77777777" w:rsidR="0089088A" w:rsidRPr="00EC4964" w:rsidRDefault="0089088A" w:rsidP="00BD4D05">
      <w:pPr>
        <w:widowControl w:val="0"/>
        <w:tabs>
          <w:tab w:val="left" w:pos="5245"/>
        </w:tabs>
        <w:spacing w:after="120" w:line="240" w:lineRule="auto"/>
        <w:rPr>
          <w:sz w:val="24"/>
          <w:szCs w:val="24"/>
          <w:lang w:val="bg-BG"/>
        </w:rPr>
      </w:pPr>
    </w:p>
    <w:p w14:paraId="5A9BAD84" w14:textId="77777777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ИЗГОТВИЛ:</w:t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СЪГЛАСУВАЛИ:</w:t>
      </w:r>
    </w:p>
    <w:p w14:paraId="215C7480" w14:textId="77777777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Тех. инв. контрол:</w:t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Р-л отдел „Строителство”: </w:t>
      </w:r>
    </w:p>
    <w:p w14:paraId="72EE1A47" w14:textId="4E147925" w:rsidR="00C8601B" w:rsidRPr="00EC580E" w:rsidRDefault="00F86E40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C8601B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(инж.</w:t>
      </w:r>
      <w:r w:rsidR="00177210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 </w:t>
      </w:r>
      <w:r w:rsidR="003721CB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Цв. </w:t>
      </w:r>
      <w:proofErr w:type="spellStart"/>
      <w:r w:rsidR="003721CB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Калпакова</w:t>
      </w:r>
      <w:proofErr w:type="spellEnd"/>
      <w:r w:rsidR="00C8601B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)</w:t>
      </w:r>
      <w:r w:rsidR="00C8601B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C8601B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C8601B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(инж.</w:t>
      </w:r>
      <w:r w:rsidR="00177210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C8601B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Здр</w:t>
      </w:r>
      <w:proofErr w:type="spellEnd"/>
      <w:r w:rsidR="00C8601B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. </w:t>
      </w:r>
      <w:proofErr w:type="spellStart"/>
      <w:r w:rsidR="00C8601B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Кърпаров</w:t>
      </w:r>
      <w:proofErr w:type="spellEnd"/>
      <w:r w:rsidR="00C8601B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)</w:t>
      </w:r>
    </w:p>
    <w:p w14:paraId="33731672" w14:textId="77777777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</w:p>
    <w:p w14:paraId="6130E89B" w14:textId="77777777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Н-к ОФ „Асарел“:</w:t>
      </w:r>
    </w:p>
    <w:p w14:paraId="2C58704E" w14:textId="05CC7E9A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F86E40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(инж. </w:t>
      </w:r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Н. </w:t>
      </w:r>
      <w:proofErr w:type="spellStart"/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Елшишки</w:t>
      </w:r>
      <w:proofErr w:type="spellEnd"/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</w:rPr>
        <w:t>)</w:t>
      </w:r>
    </w:p>
    <w:p w14:paraId="57D92CB0" w14:textId="77777777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</w:p>
    <w:p w14:paraId="5E2FC919" w14:textId="77777777" w:rsidR="00F230D4" w:rsidRPr="00F230D4" w:rsidRDefault="00C8601B" w:rsidP="00F230D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F230D4" w:rsidRPr="00F230D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Н-к цех „ВОС, ПС и SX-EX“:</w:t>
      </w:r>
    </w:p>
    <w:p w14:paraId="05E7FF94" w14:textId="1598DC04" w:rsidR="00F230D4" w:rsidRPr="00F230D4" w:rsidRDefault="00F230D4" w:rsidP="00F230D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</w:rPr>
      </w:pPr>
      <w:r w:rsidRPr="00F230D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                         </w:t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>(</w:t>
      </w:r>
      <w:r w:rsidRPr="00F230D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инж. Ст. </w:t>
      </w:r>
      <w:proofErr w:type="spellStart"/>
      <w:r w:rsidRPr="00F230D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Трошанов</w:t>
      </w:r>
      <w:proofErr w:type="spellEnd"/>
      <w:r>
        <w:rPr>
          <w:rFonts w:ascii="Times New Roman" w:eastAsia="HG Mincho Light J" w:hAnsi="Times New Roman" w:cs="Times New Roman"/>
          <w:b/>
          <w:sz w:val="24"/>
          <w:szCs w:val="24"/>
        </w:rPr>
        <w:t>)</w:t>
      </w:r>
    </w:p>
    <w:p w14:paraId="56990777" w14:textId="77777777" w:rsidR="00177210" w:rsidRDefault="00177210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</w:p>
    <w:p w14:paraId="16338E9A" w14:textId="29CE8DBF" w:rsidR="00F230D4" w:rsidRDefault="00177210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7F0AF9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Н-к рудник „Асарел“:</w:t>
      </w:r>
    </w:p>
    <w:p w14:paraId="71D90CB2" w14:textId="55AC1688" w:rsidR="007F0AF9" w:rsidRDefault="00177210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</w:rPr>
      </w:pP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 w:rsidR="007F0AF9">
        <w:rPr>
          <w:rFonts w:ascii="Times New Roman" w:eastAsia="HG Mincho Light J" w:hAnsi="Times New Roman" w:cs="Times New Roman"/>
          <w:b/>
          <w:sz w:val="24"/>
          <w:szCs w:val="24"/>
        </w:rPr>
        <w:t>(</w:t>
      </w:r>
      <w:r w:rsidR="007F0AF9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инж. Ив. Андреев</w:t>
      </w:r>
      <w:r w:rsidR="007F0AF9">
        <w:rPr>
          <w:rFonts w:ascii="Times New Roman" w:eastAsia="HG Mincho Light J" w:hAnsi="Times New Roman" w:cs="Times New Roman"/>
          <w:b/>
          <w:sz w:val="24"/>
          <w:szCs w:val="24"/>
        </w:rPr>
        <w:t>)</w:t>
      </w:r>
    </w:p>
    <w:p w14:paraId="40898AD1" w14:textId="779F3F60" w:rsidR="007F0AF9" w:rsidRDefault="007F0AF9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</w:rPr>
      </w:pPr>
    </w:p>
    <w:p w14:paraId="334F42B5" w14:textId="28C3171A" w:rsidR="007F0AF9" w:rsidRDefault="00177210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  <w:t xml:space="preserve">Р-л отдел „Е, </w:t>
      </w:r>
      <w:proofErr w:type="spellStart"/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ЕЕи</w:t>
      </w:r>
      <w:proofErr w:type="spellEnd"/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 И“:</w:t>
      </w:r>
    </w:p>
    <w:p w14:paraId="65A94B42" w14:textId="306EA046" w:rsidR="00177210" w:rsidRDefault="00177210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</w:rPr>
      </w:pP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</w:rPr>
        <w:tab/>
        <w:t>(</w:t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инж. П. </w:t>
      </w:r>
      <w:proofErr w:type="spellStart"/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Дееничин</w:t>
      </w:r>
      <w:proofErr w:type="spellEnd"/>
      <w:r>
        <w:rPr>
          <w:rFonts w:ascii="Times New Roman" w:eastAsia="HG Mincho Light J" w:hAnsi="Times New Roman" w:cs="Times New Roman"/>
          <w:b/>
          <w:sz w:val="24"/>
          <w:szCs w:val="24"/>
        </w:rPr>
        <w:t>)</w:t>
      </w:r>
    </w:p>
    <w:p w14:paraId="1F077B51" w14:textId="77777777" w:rsidR="00177210" w:rsidRPr="00177210" w:rsidRDefault="00177210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</w:rPr>
      </w:pPr>
    </w:p>
    <w:p w14:paraId="4194394C" w14:textId="77EAD70B" w:rsidR="00C8601B" w:rsidRPr="00EC580E" w:rsidRDefault="00F230D4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751C1F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Р</w:t>
      </w:r>
      <w:r w:rsidR="00C8601B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-л отдел „БЗР”:</w:t>
      </w:r>
    </w:p>
    <w:p w14:paraId="6E66FEE2" w14:textId="1FB778AC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F86E40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(инж.</w:t>
      </w:r>
      <w:r w:rsidR="00DC77E9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 </w:t>
      </w:r>
      <w:r w:rsidR="006247C6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П. Дерменд</w:t>
      </w:r>
      <w:r w:rsidR="00916BB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ж</w:t>
      </w:r>
      <w:r w:rsidR="006247C6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иев</w:t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)</w:t>
      </w:r>
    </w:p>
    <w:p w14:paraId="004D21FC" w14:textId="77777777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</w:p>
    <w:p w14:paraId="2A1D7A05" w14:textId="77777777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Р-л отдел „Екология“:</w:t>
      </w:r>
    </w:p>
    <w:p w14:paraId="47DED182" w14:textId="4F0D3BFA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F86E40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(инж.</w:t>
      </w:r>
      <w:r w:rsidRPr="00EC580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М. </w:t>
      </w:r>
      <w:proofErr w:type="spellStart"/>
      <w:r w:rsidRPr="00EC580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Джиджинкова</w:t>
      </w:r>
      <w:proofErr w:type="spellEnd"/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)</w:t>
      </w:r>
    </w:p>
    <w:p w14:paraId="4A183939" w14:textId="77777777" w:rsidR="00C8601B" w:rsidRPr="00EC580E" w:rsidRDefault="00C8601B" w:rsidP="00C8601B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</w:p>
    <w:p w14:paraId="1E58271C" w14:textId="77777777" w:rsidR="00C8601B" w:rsidRPr="00EC580E" w:rsidRDefault="00751C1F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C8601B"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Директор „ПД“:</w:t>
      </w:r>
    </w:p>
    <w:p w14:paraId="36E12A20" w14:textId="49C2B46B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F86E40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(инж. Ив. Чолаков)</w:t>
      </w:r>
    </w:p>
    <w:p w14:paraId="7719D601" w14:textId="77777777" w:rsidR="00EC580E" w:rsidRPr="00EC580E" w:rsidRDefault="00EC580E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</w:p>
    <w:p w14:paraId="4126998D" w14:textId="1D9D6F11" w:rsidR="00C8601B" w:rsidRPr="00EC4964" w:rsidRDefault="00EC580E" w:rsidP="0087217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4"/>
          <w:szCs w:val="24"/>
          <w:lang w:val="bg-BG"/>
        </w:rPr>
      </w:pP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</w:p>
    <w:p w14:paraId="00DD8CC5" w14:textId="77777777" w:rsidR="00C8601B" w:rsidRPr="00EC4964" w:rsidRDefault="00C8601B" w:rsidP="00751C1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4"/>
          <w:szCs w:val="24"/>
          <w:lang w:val="bg-BG"/>
        </w:rPr>
      </w:pPr>
      <w:r w:rsidRPr="00EC4964">
        <w:rPr>
          <w:rFonts w:ascii="Times New Roman" w:eastAsia="HG Mincho Light J" w:hAnsi="Times New Roman" w:cs="Times New Roman"/>
          <w:sz w:val="24"/>
          <w:szCs w:val="24"/>
          <w:lang w:val="bg-BG"/>
        </w:rPr>
        <w:tab/>
      </w:r>
      <w:r w:rsidRPr="00EC4964">
        <w:rPr>
          <w:rFonts w:ascii="Times New Roman" w:eastAsia="HG Mincho Light J" w:hAnsi="Times New Roman" w:cs="Times New Roman"/>
          <w:sz w:val="24"/>
          <w:szCs w:val="24"/>
          <w:lang w:val="bg-BG"/>
        </w:rPr>
        <w:tab/>
      </w:r>
      <w:r w:rsidRPr="00EC4964">
        <w:rPr>
          <w:rFonts w:ascii="Times New Roman" w:eastAsia="HG Mincho Light J" w:hAnsi="Times New Roman" w:cs="Times New Roman"/>
          <w:sz w:val="24"/>
          <w:szCs w:val="24"/>
          <w:lang w:val="bg-BG"/>
        </w:rPr>
        <w:tab/>
      </w:r>
      <w:r w:rsidRPr="00EC4964">
        <w:rPr>
          <w:rFonts w:ascii="Times New Roman" w:eastAsia="HG Mincho Light J" w:hAnsi="Times New Roman" w:cs="Times New Roman"/>
          <w:sz w:val="24"/>
          <w:szCs w:val="24"/>
          <w:lang w:val="bg-BG"/>
        </w:rPr>
        <w:tab/>
      </w:r>
      <w:r w:rsidRPr="00EC4964">
        <w:rPr>
          <w:rFonts w:ascii="Times New Roman" w:eastAsia="HG Mincho Light J" w:hAnsi="Times New Roman" w:cs="Times New Roman"/>
          <w:sz w:val="24"/>
          <w:szCs w:val="24"/>
          <w:lang w:val="bg-BG"/>
        </w:rPr>
        <w:tab/>
      </w:r>
      <w:r w:rsidRPr="00EC4964">
        <w:rPr>
          <w:rFonts w:ascii="Times New Roman" w:eastAsia="HG Mincho Light J" w:hAnsi="Times New Roman" w:cs="Times New Roman"/>
          <w:sz w:val="24"/>
          <w:szCs w:val="24"/>
          <w:lang w:val="bg-BG"/>
        </w:rPr>
        <w:tab/>
      </w:r>
      <w:r w:rsidRPr="00EC4964">
        <w:rPr>
          <w:rFonts w:ascii="Times New Roman" w:eastAsia="HG Mincho Light J" w:hAnsi="Times New Roman" w:cs="Times New Roman"/>
          <w:sz w:val="24"/>
          <w:szCs w:val="24"/>
          <w:lang w:val="bg-BG"/>
        </w:rPr>
        <w:tab/>
      </w:r>
    </w:p>
    <w:p w14:paraId="4E6E0D2D" w14:textId="77777777" w:rsidR="00C8601B" w:rsidRPr="008B7DD6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8"/>
          <w:szCs w:val="28"/>
          <w:lang w:val="bg-BG"/>
        </w:rPr>
      </w:pPr>
    </w:p>
    <w:p w14:paraId="6EFC463F" w14:textId="77777777" w:rsidR="00C8601B" w:rsidRPr="00C8601B" w:rsidRDefault="00C8601B" w:rsidP="00DC77E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8"/>
          <w:szCs w:val="28"/>
          <w:lang w:val="bg-BG"/>
        </w:rPr>
      </w:pPr>
      <w:r w:rsidRPr="008B7DD6">
        <w:rPr>
          <w:rFonts w:ascii="Times New Roman" w:eastAsia="HG Mincho Light J" w:hAnsi="Times New Roman" w:cs="Times New Roman"/>
          <w:sz w:val="28"/>
          <w:szCs w:val="28"/>
          <w:lang w:val="bg-BG"/>
        </w:rPr>
        <w:tab/>
      </w:r>
      <w:r w:rsidRPr="008B7DD6">
        <w:rPr>
          <w:rFonts w:ascii="Times New Roman" w:eastAsia="HG Mincho Light J" w:hAnsi="Times New Roman" w:cs="Times New Roman"/>
          <w:sz w:val="28"/>
          <w:szCs w:val="28"/>
          <w:lang w:val="bg-BG"/>
        </w:rPr>
        <w:tab/>
      </w:r>
      <w:r w:rsidRPr="008B7DD6">
        <w:rPr>
          <w:rFonts w:ascii="Times New Roman" w:eastAsia="HG Mincho Light J" w:hAnsi="Times New Roman" w:cs="Times New Roman"/>
          <w:sz w:val="28"/>
          <w:szCs w:val="28"/>
          <w:lang w:val="bg-BG"/>
        </w:rPr>
        <w:tab/>
      </w:r>
      <w:r w:rsidRPr="008B7DD6">
        <w:rPr>
          <w:rFonts w:ascii="Times New Roman" w:eastAsia="HG Mincho Light J" w:hAnsi="Times New Roman" w:cs="Times New Roman"/>
          <w:sz w:val="28"/>
          <w:szCs w:val="28"/>
          <w:lang w:val="bg-BG"/>
        </w:rPr>
        <w:tab/>
      </w:r>
      <w:r w:rsidRPr="008B7DD6">
        <w:rPr>
          <w:rFonts w:ascii="Times New Roman" w:eastAsia="HG Mincho Light J" w:hAnsi="Times New Roman" w:cs="Times New Roman"/>
          <w:sz w:val="28"/>
          <w:szCs w:val="28"/>
          <w:lang w:val="bg-BG"/>
        </w:rPr>
        <w:tab/>
      </w:r>
      <w:r w:rsidRPr="008B7DD6">
        <w:rPr>
          <w:rFonts w:ascii="Times New Roman" w:eastAsia="HG Mincho Light J" w:hAnsi="Times New Roman" w:cs="Times New Roman"/>
          <w:sz w:val="28"/>
          <w:szCs w:val="28"/>
          <w:lang w:val="bg-BG"/>
        </w:rPr>
        <w:tab/>
      </w:r>
      <w:r w:rsidRPr="008B7DD6">
        <w:rPr>
          <w:rFonts w:ascii="Times New Roman" w:eastAsia="HG Mincho Light J" w:hAnsi="Times New Roman" w:cs="Times New Roman"/>
          <w:sz w:val="28"/>
          <w:szCs w:val="28"/>
          <w:lang w:val="bg-BG"/>
        </w:rPr>
        <w:tab/>
      </w:r>
    </w:p>
    <w:p w14:paraId="5F1FCE74" w14:textId="77777777" w:rsidR="00C8601B" w:rsidRPr="00C8601B" w:rsidRDefault="00C8601B" w:rsidP="00C8601B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HG Mincho Light J" w:hAnsi="Times New Roman" w:cs="Times New Roman"/>
          <w:sz w:val="28"/>
          <w:szCs w:val="28"/>
          <w:lang w:val="bg-BG"/>
        </w:rPr>
      </w:pPr>
      <w:r w:rsidRPr="00C8601B">
        <w:rPr>
          <w:rFonts w:ascii="Times New Roman" w:eastAsia="HG Mincho Light J" w:hAnsi="Times New Roman" w:cs="Times New Roman"/>
          <w:sz w:val="28"/>
          <w:szCs w:val="28"/>
          <w:lang w:val="bg-BG"/>
        </w:rPr>
        <w:t xml:space="preserve"> </w:t>
      </w:r>
    </w:p>
    <w:p w14:paraId="624023D0" w14:textId="77777777" w:rsidR="00C8601B" w:rsidRPr="00C8601B" w:rsidRDefault="00C8601B" w:rsidP="00BD4D05">
      <w:pPr>
        <w:widowControl w:val="0"/>
        <w:tabs>
          <w:tab w:val="left" w:pos="5245"/>
        </w:tabs>
        <w:spacing w:after="120" w:line="240" w:lineRule="auto"/>
        <w:rPr>
          <w:lang w:val="bg-BG"/>
        </w:rPr>
      </w:pPr>
    </w:p>
    <w:sectPr w:rsidR="00C8601B" w:rsidRPr="00C8601B" w:rsidSect="00D13623"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2230" w14:textId="77777777" w:rsidR="00D4408E" w:rsidRDefault="00D4408E" w:rsidP="00FB3C1F">
      <w:pPr>
        <w:spacing w:after="0" w:line="240" w:lineRule="auto"/>
      </w:pPr>
      <w:r>
        <w:separator/>
      </w:r>
    </w:p>
  </w:endnote>
  <w:endnote w:type="continuationSeparator" w:id="0">
    <w:p w14:paraId="16174996" w14:textId="77777777" w:rsidR="00D4408E" w:rsidRDefault="00D4408E" w:rsidP="00FB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452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C7D01" w14:textId="77777777" w:rsidR="00FB3C1F" w:rsidRDefault="00FB3C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1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4659B" w14:textId="77777777" w:rsidR="00FB3C1F" w:rsidRDefault="00FB3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BD13" w14:textId="77777777" w:rsidR="00D4408E" w:rsidRDefault="00D4408E" w:rsidP="00FB3C1F">
      <w:pPr>
        <w:spacing w:after="0" w:line="240" w:lineRule="auto"/>
      </w:pPr>
      <w:r>
        <w:separator/>
      </w:r>
    </w:p>
  </w:footnote>
  <w:footnote w:type="continuationSeparator" w:id="0">
    <w:p w14:paraId="764D3DC2" w14:textId="77777777" w:rsidR="00D4408E" w:rsidRDefault="00D4408E" w:rsidP="00FB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536"/>
      <w:gridCol w:w="5103"/>
    </w:tblGrid>
    <w:tr w:rsidR="00F938A7" w:rsidRPr="00F938A7" w14:paraId="468B374B" w14:textId="77777777" w:rsidTr="003D1169">
      <w:tc>
        <w:tcPr>
          <w:tcW w:w="4536" w:type="dxa"/>
        </w:tcPr>
        <w:p w14:paraId="341614C1" w14:textId="77777777" w:rsidR="00F938A7" w:rsidRPr="0068191F" w:rsidRDefault="00F938A7" w:rsidP="0037364F">
          <w:pPr>
            <w:tabs>
              <w:tab w:val="left" w:pos="108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FF0000"/>
              <w:sz w:val="16"/>
              <w:szCs w:val="20"/>
              <w:lang w:val="bg-BG"/>
            </w:rPr>
          </w:pPr>
        </w:p>
      </w:tc>
      <w:tc>
        <w:tcPr>
          <w:tcW w:w="5103" w:type="dxa"/>
        </w:tcPr>
        <w:p w14:paraId="4E26EE27" w14:textId="77777777" w:rsidR="00F938A7" w:rsidRPr="00F938A7" w:rsidRDefault="00F938A7" w:rsidP="00F938A7">
          <w:pPr>
            <w:widowControl w:val="0"/>
            <w:tabs>
              <w:tab w:val="left" w:pos="720"/>
            </w:tabs>
            <w:spacing w:after="0" w:line="240" w:lineRule="auto"/>
            <w:ind w:left="57" w:right="57"/>
            <w:jc w:val="right"/>
            <w:outlineLvl w:val="8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u w:val="single"/>
              <w:lang w:val="bg-BG"/>
            </w:rPr>
          </w:pPr>
        </w:p>
      </w:tc>
    </w:tr>
  </w:tbl>
  <w:p w14:paraId="65D50C04" w14:textId="77777777" w:rsidR="00F938A7" w:rsidRPr="00F938A7" w:rsidRDefault="00F938A7" w:rsidP="00F93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AFF4" w14:textId="77777777" w:rsidR="0037364F" w:rsidRPr="0037364F" w:rsidRDefault="0037364F" w:rsidP="0037364F">
    <w:pPr>
      <w:tabs>
        <w:tab w:val="left" w:pos="1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ru-RU"/>
      </w:rPr>
    </w:pPr>
    <w:proofErr w:type="spellStart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Индекс</w:t>
    </w:r>
    <w:proofErr w:type="spellEnd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 xml:space="preserve"> </w:t>
    </w:r>
    <w:proofErr w:type="spellStart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на</w:t>
    </w:r>
    <w:proofErr w:type="spellEnd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 xml:space="preserve"> </w:t>
    </w:r>
    <w:proofErr w:type="spellStart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документирана</w:t>
    </w:r>
    <w:proofErr w:type="spellEnd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 xml:space="preserve"> </w:t>
    </w:r>
    <w:proofErr w:type="spellStart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информация</w:t>
    </w:r>
    <w:proofErr w:type="spellEnd"/>
  </w:p>
  <w:p w14:paraId="3830DFE2" w14:textId="77777777" w:rsidR="0037364F" w:rsidRPr="0037364F" w:rsidRDefault="0037364F" w:rsidP="0037364F">
    <w:pPr>
      <w:tabs>
        <w:tab w:val="left" w:pos="1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ru-RU"/>
      </w:rPr>
    </w:pPr>
    <w:r w:rsidRPr="0037364F">
      <w:rPr>
        <w:rFonts w:ascii="Times New Roman" w:eastAsia="Times New Roman" w:hAnsi="Times New Roman" w:cs="Times New Roman"/>
        <w:sz w:val="16"/>
        <w:szCs w:val="20"/>
        <w:lang w:val="bg-BG"/>
      </w:rPr>
      <w:t>РИ-</w:t>
    </w:r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ИС</w:t>
    </w:r>
    <w:r w:rsidRPr="0037364F">
      <w:rPr>
        <w:rFonts w:ascii="Times New Roman" w:eastAsia="Times New Roman" w:hAnsi="Times New Roman" w:cs="Times New Roman"/>
        <w:sz w:val="16"/>
        <w:szCs w:val="20"/>
        <w:lang w:val="bg-BG"/>
      </w:rPr>
      <w:t>У</w:t>
    </w:r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-0</w:t>
    </w:r>
    <w:r w:rsidRPr="0037364F">
      <w:rPr>
        <w:rFonts w:ascii="Times New Roman" w:eastAsia="Times New Roman" w:hAnsi="Times New Roman" w:cs="Times New Roman"/>
        <w:sz w:val="16"/>
        <w:szCs w:val="20"/>
        <w:lang w:val="bg-BG"/>
      </w:rPr>
      <w:t>7</w:t>
    </w:r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.0</w:t>
    </w:r>
    <w:r w:rsidRPr="0037364F">
      <w:rPr>
        <w:rFonts w:ascii="Times New Roman" w:eastAsia="Times New Roman" w:hAnsi="Times New Roman" w:cs="Times New Roman"/>
        <w:sz w:val="16"/>
        <w:szCs w:val="20"/>
        <w:lang w:val="bg-BG"/>
      </w:rPr>
      <w:t>1</w:t>
    </w:r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.0</w:t>
    </w:r>
    <w:r w:rsidRPr="0037364F">
      <w:rPr>
        <w:rFonts w:ascii="Times New Roman" w:eastAsia="Times New Roman" w:hAnsi="Times New Roman" w:cs="Times New Roman"/>
        <w:sz w:val="16"/>
        <w:szCs w:val="20"/>
        <w:lang w:val="bg-BG"/>
      </w:rPr>
      <w:t>1</w:t>
    </w:r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.00.00/3-</w:t>
    </w:r>
    <w:r w:rsidR="00751C1F">
      <w:rPr>
        <w:rFonts w:ascii="Times New Roman" w:eastAsia="Times New Roman" w:hAnsi="Times New Roman" w:cs="Times New Roman"/>
        <w:sz w:val="16"/>
        <w:szCs w:val="20"/>
        <w:lang w:val="bg-BG"/>
      </w:rPr>
      <w:t>4</w:t>
    </w:r>
  </w:p>
  <w:p w14:paraId="4609BC70" w14:textId="77777777" w:rsidR="0037364F" w:rsidRDefault="00373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B01D4F"/>
    <w:multiLevelType w:val="hybridMultilevel"/>
    <w:tmpl w:val="19CAA9D2"/>
    <w:lvl w:ilvl="0" w:tplc="2C52AEF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53475"/>
    <w:multiLevelType w:val="hybridMultilevel"/>
    <w:tmpl w:val="3B161F9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30330B"/>
    <w:multiLevelType w:val="hybridMultilevel"/>
    <w:tmpl w:val="708E5F1E"/>
    <w:lvl w:ilvl="0" w:tplc="701A35C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F5A87"/>
    <w:multiLevelType w:val="hybridMultilevel"/>
    <w:tmpl w:val="E87EAB08"/>
    <w:lvl w:ilvl="0" w:tplc="252EACE8">
      <w:start w:val="4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 w15:restartNumberingAfterBreak="0">
    <w:nsid w:val="2CC00797"/>
    <w:multiLevelType w:val="hybridMultilevel"/>
    <w:tmpl w:val="ACB2DE4E"/>
    <w:lvl w:ilvl="0" w:tplc="50D6B54C">
      <w:start w:val="1"/>
      <w:numFmt w:val="decimal"/>
      <w:lvlText w:val="%1."/>
      <w:lvlJc w:val="left"/>
      <w:pPr>
        <w:ind w:left="1635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3822248F"/>
    <w:multiLevelType w:val="hybridMultilevel"/>
    <w:tmpl w:val="9F3098EC"/>
    <w:lvl w:ilvl="0" w:tplc="040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9BF0DBA"/>
    <w:multiLevelType w:val="hybridMultilevel"/>
    <w:tmpl w:val="2AD0BC80"/>
    <w:lvl w:ilvl="0" w:tplc="093E0368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B95FCA"/>
    <w:multiLevelType w:val="multilevel"/>
    <w:tmpl w:val="6620693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47F968E2"/>
    <w:multiLevelType w:val="multilevel"/>
    <w:tmpl w:val="75969E6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4C9E03C3"/>
    <w:multiLevelType w:val="hybridMultilevel"/>
    <w:tmpl w:val="D94E0E4C"/>
    <w:lvl w:ilvl="0" w:tplc="2C52AEF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857773"/>
    <w:multiLevelType w:val="multilevel"/>
    <w:tmpl w:val="F5B6F6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66C85D03"/>
    <w:multiLevelType w:val="multilevel"/>
    <w:tmpl w:val="1B0AD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647DDC"/>
    <w:multiLevelType w:val="hybridMultilevel"/>
    <w:tmpl w:val="4C92F67E"/>
    <w:lvl w:ilvl="0" w:tplc="2C52AE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7717EE5"/>
    <w:multiLevelType w:val="hybridMultilevel"/>
    <w:tmpl w:val="6D42E23C"/>
    <w:lvl w:ilvl="0" w:tplc="789EB15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1F5D99"/>
    <w:multiLevelType w:val="hybridMultilevel"/>
    <w:tmpl w:val="FA704A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A1704DB"/>
    <w:multiLevelType w:val="hybridMultilevel"/>
    <w:tmpl w:val="7D6652D0"/>
    <w:lvl w:ilvl="0" w:tplc="128CC664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037116"/>
    <w:multiLevelType w:val="hybridMultilevel"/>
    <w:tmpl w:val="A14A05E4"/>
    <w:lvl w:ilvl="0" w:tplc="C3F2C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5"/>
  </w:num>
  <w:num w:numId="5">
    <w:abstractNumId w:val="6"/>
  </w:num>
  <w:num w:numId="6">
    <w:abstractNumId w:val="11"/>
  </w:num>
  <w:num w:numId="7">
    <w:abstractNumId w:val="13"/>
  </w:num>
  <w:num w:numId="8">
    <w:abstractNumId w:val="16"/>
  </w:num>
  <w:num w:numId="9">
    <w:abstractNumId w:val="3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7"/>
  </w:num>
  <w:num w:numId="15">
    <w:abstractNumId w:val="20"/>
  </w:num>
  <w:num w:numId="16">
    <w:abstractNumId w:val="5"/>
  </w:num>
  <w:num w:numId="17">
    <w:abstractNumId w:val="19"/>
  </w:num>
  <w:num w:numId="18">
    <w:abstractNumId w:val="4"/>
  </w:num>
  <w:num w:numId="19">
    <w:abstractNumId w:val="17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95C"/>
    <w:rsid w:val="00011785"/>
    <w:rsid w:val="00057D27"/>
    <w:rsid w:val="000603BE"/>
    <w:rsid w:val="0006345A"/>
    <w:rsid w:val="0009368D"/>
    <w:rsid w:val="000970AB"/>
    <w:rsid w:val="000A1963"/>
    <w:rsid w:val="000B27B1"/>
    <w:rsid w:val="000E0268"/>
    <w:rsid w:val="00104868"/>
    <w:rsid w:val="001208D2"/>
    <w:rsid w:val="001402D6"/>
    <w:rsid w:val="001518FC"/>
    <w:rsid w:val="0016506A"/>
    <w:rsid w:val="00173344"/>
    <w:rsid w:val="00177210"/>
    <w:rsid w:val="001A2D5C"/>
    <w:rsid w:val="001B277A"/>
    <w:rsid w:val="001C5C9B"/>
    <w:rsid w:val="002244E2"/>
    <w:rsid w:val="002252E5"/>
    <w:rsid w:val="00245D00"/>
    <w:rsid w:val="002965F6"/>
    <w:rsid w:val="003014F8"/>
    <w:rsid w:val="003029B4"/>
    <w:rsid w:val="00324F8B"/>
    <w:rsid w:val="0033217D"/>
    <w:rsid w:val="00347301"/>
    <w:rsid w:val="003721CB"/>
    <w:rsid w:val="0037364F"/>
    <w:rsid w:val="00384317"/>
    <w:rsid w:val="00387174"/>
    <w:rsid w:val="003A3D3C"/>
    <w:rsid w:val="003D1169"/>
    <w:rsid w:val="003D2546"/>
    <w:rsid w:val="003E3047"/>
    <w:rsid w:val="003E37EE"/>
    <w:rsid w:val="003E6B71"/>
    <w:rsid w:val="003F267E"/>
    <w:rsid w:val="003F7E69"/>
    <w:rsid w:val="004005F0"/>
    <w:rsid w:val="00412DF4"/>
    <w:rsid w:val="00413C02"/>
    <w:rsid w:val="0042172A"/>
    <w:rsid w:val="004343DF"/>
    <w:rsid w:val="00435EB0"/>
    <w:rsid w:val="004445A1"/>
    <w:rsid w:val="00460A62"/>
    <w:rsid w:val="00462CDB"/>
    <w:rsid w:val="004B465C"/>
    <w:rsid w:val="004D773F"/>
    <w:rsid w:val="00504406"/>
    <w:rsid w:val="00504AE8"/>
    <w:rsid w:val="0051601F"/>
    <w:rsid w:val="00534FC2"/>
    <w:rsid w:val="00552B10"/>
    <w:rsid w:val="00560087"/>
    <w:rsid w:val="005641FF"/>
    <w:rsid w:val="00564AFD"/>
    <w:rsid w:val="00574FCE"/>
    <w:rsid w:val="00584D55"/>
    <w:rsid w:val="00591103"/>
    <w:rsid w:val="005D050B"/>
    <w:rsid w:val="005D0F80"/>
    <w:rsid w:val="005D3406"/>
    <w:rsid w:val="005E5F94"/>
    <w:rsid w:val="00607998"/>
    <w:rsid w:val="00610602"/>
    <w:rsid w:val="00615656"/>
    <w:rsid w:val="006247C6"/>
    <w:rsid w:val="0066737E"/>
    <w:rsid w:val="0068191F"/>
    <w:rsid w:val="00690592"/>
    <w:rsid w:val="00695262"/>
    <w:rsid w:val="006D7B5B"/>
    <w:rsid w:val="006E45F3"/>
    <w:rsid w:val="006F1190"/>
    <w:rsid w:val="00700FB7"/>
    <w:rsid w:val="0070452D"/>
    <w:rsid w:val="007201B0"/>
    <w:rsid w:val="00720A8A"/>
    <w:rsid w:val="00723138"/>
    <w:rsid w:val="00725D84"/>
    <w:rsid w:val="00751C1F"/>
    <w:rsid w:val="007546D4"/>
    <w:rsid w:val="00784FD6"/>
    <w:rsid w:val="007C569F"/>
    <w:rsid w:val="007F095C"/>
    <w:rsid w:val="007F0AF9"/>
    <w:rsid w:val="007F5FA7"/>
    <w:rsid w:val="008214DC"/>
    <w:rsid w:val="0082487A"/>
    <w:rsid w:val="008456F1"/>
    <w:rsid w:val="008501DA"/>
    <w:rsid w:val="0086599B"/>
    <w:rsid w:val="00871D3F"/>
    <w:rsid w:val="0087217C"/>
    <w:rsid w:val="008742C0"/>
    <w:rsid w:val="00877430"/>
    <w:rsid w:val="0088085C"/>
    <w:rsid w:val="0089088A"/>
    <w:rsid w:val="008B7DD6"/>
    <w:rsid w:val="00916BBE"/>
    <w:rsid w:val="009209F8"/>
    <w:rsid w:val="00951C2D"/>
    <w:rsid w:val="009572FD"/>
    <w:rsid w:val="009617B4"/>
    <w:rsid w:val="0096462C"/>
    <w:rsid w:val="00973297"/>
    <w:rsid w:val="009B6118"/>
    <w:rsid w:val="009C2539"/>
    <w:rsid w:val="009D2449"/>
    <w:rsid w:val="00A015E2"/>
    <w:rsid w:val="00A15C05"/>
    <w:rsid w:val="00A20AA6"/>
    <w:rsid w:val="00A22364"/>
    <w:rsid w:val="00A43F08"/>
    <w:rsid w:val="00A72C22"/>
    <w:rsid w:val="00A814DD"/>
    <w:rsid w:val="00AA60F9"/>
    <w:rsid w:val="00AD6AFD"/>
    <w:rsid w:val="00AF0CF5"/>
    <w:rsid w:val="00AF21A9"/>
    <w:rsid w:val="00AF78F9"/>
    <w:rsid w:val="00B17D82"/>
    <w:rsid w:val="00B40E15"/>
    <w:rsid w:val="00B465CE"/>
    <w:rsid w:val="00B47035"/>
    <w:rsid w:val="00B53950"/>
    <w:rsid w:val="00B55BE5"/>
    <w:rsid w:val="00B645AE"/>
    <w:rsid w:val="00B6510F"/>
    <w:rsid w:val="00B67BE3"/>
    <w:rsid w:val="00B75B06"/>
    <w:rsid w:val="00B87B5D"/>
    <w:rsid w:val="00BA382D"/>
    <w:rsid w:val="00BA649F"/>
    <w:rsid w:val="00BD4D05"/>
    <w:rsid w:val="00BD74AE"/>
    <w:rsid w:val="00BE39E9"/>
    <w:rsid w:val="00BF4B1A"/>
    <w:rsid w:val="00C32534"/>
    <w:rsid w:val="00C36983"/>
    <w:rsid w:val="00C405B3"/>
    <w:rsid w:val="00C52F89"/>
    <w:rsid w:val="00C60782"/>
    <w:rsid w:val="00C77017"/>
    <w:rsid w:val="00C8601B"/>
    <w:rsid w:val="00C97D45"/>
    <w:rsid w:val="00CB3C4A"/>
    <w:rsid w:val="00CB3D5B"/>
    <w:rsid w:val="00D06D59"/>
    <w:rsid w:val="00D11494"/>
    <w:rsid w:val="00D127BD"/>
    <w:rsid w:val="00D13623"/>
    <w:rsid w:val="00D30E9F"/>
    <w:rsid w:val="00D348FD"/>
    <w:rsid w:val="00D425B2"/>
    <w:rsid w:val="00D4408E"/>
    <w:rsid w:val="00D52DC2"/>
    <w:rsid w:val="00D70220"/>
    <w:rsid w:val="00D9046F"/>
    <w:rsid w:val="00DC77E9"/>
    <w:rsid w:val="00DF5DC5"/>
    <w:rsid w:val="00E10822"/>
    <w:rsid w:val="00E220A8"/>
    <w:rsid w:val="00E41294"/>
    <w:rsid w:val="00E464A6"/>
    <w:rsid w:val="00E52B4C"/>
    <w:rsid w:val="00EB5546"/>
    <w:rsid w:val="00EC2465"/>
    <w:rsid w:val="00EC4964"/>
    <w:rsid w:val="00EC580E"/>
    <w:rsid w:val="00EC7585"/>
    <w:rsid w:val="00EF1BB1"/>
    <w:rsid w:val="00EF3151"/>
    <w:rsid w:val="00F0606E"/>
    <w:rsid w:val="00F076F2"/>
    <w:rsid w:val="00F22D7C"/>
    <w:rsid w:val="00F230D4"/>
    <w:rsid w:val="00F30D93"/>
    <w:rsid w:val="00F37150"/>
    <w:rsid w:val="00F556CF"/>
    <w:rsid w:val="00F620F4"/>
    <w:rsid w:val="00F705EC"/>
    <w:rsid w:val="00F86E40"/>
    <w:rsid w:val="00F938A7"/>
    <w:rsid w:val="00FA2024"/>
    <w:rsid w:val="00FB01FA"/>
    <w:rsid w:val="00FB3C1F"/>
    <w:rsid w:val="00FD20E1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97B4"/>
  <w15:docId w15:val="{7D233409-2068-4A1D-BC9A-AAEAB589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24F8B"/>
    <w:pPr>
      <w:spacing w:after="120" w:line="240" w:lineRule="auto"/>
      <w:ind w:firstLine="907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324F8B"/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24F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C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C1F"/>
  </w:style>
  <w:style w:type="paragraph" w:styleId="Footer">
    <w:name w:val="footer"/>
    <w:basedOn w:val="Normal"/>
    <w:link w:val="FooterChar"/>
    <w:uiPriority w:val="99"/>
    <w:unhideWhenUsed/>
    <w:rsid w:val="00FB3C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C1F"/>
  </w:style>
  <w:style w:type="character" w:styleId="UnresolvedMention">
    <w:name w:val="Unresolved Mention"/>
    <w:basedOn w:val="DefaultParagraphFont"/>
    <w:uiPriority w:val="99"/>
    <w:semiHidden/>
    <w:unhideWhenUsed/>
    <w:rsid w:val="00751C1F"/>
    <w:rPr>
      <w:color w:val="605E5C"/>
      <w:shd w:val="clear" w:color="auto" w:fill="E1DFDD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3D25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6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r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kalpakova@asare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8FEC-9BA9-4587-97E3-9B569585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17</Pages>
  <Words>7157</Words>
  <Characters>40799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</Company>
  <LinksUpToDate>false</LinksUpToDate>
  <CharactersWithSpaces>47861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Minkovski</dc:creator>
  <cp:lastModifiedBy>Tsvetana Kalpakova</cp:lastModifiedBy>
  <cp:revision>103</cp:revision>
  <cp:lastPrinted>2023-12-22T14:10:00Z</cp:lastPrinted>
  <dcterms:created xsi:type="dcterms:W3CDTF">2022-06-07T11:44:00Z</dcterms:created>
  <dcterms:modified xsi:type="dcterms:W3CDTF">2024-10-10T06:47:00Z</dcterms:modified>
</cp:coreProperties>
</file>